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D05C9">
      <w:pPr>
        <w:spacing w:line="290" w:lineRule="auto"/>
        <w:jc w:val="both"/>
        <w:rPr>
          <w:rFonts w:hint="eastAsia" w:ascii="宋体" w:hAnsi="宋体" w:eastAsia="宋体" w:cs="宋体"/>
          <w:b/>
          <w:bCs/>
          <w:i w:val="0"/>
          <w:iCs w:val="0"/>
          <w:caps w:val="0"/>
          <w:color w:val="333333"/>
          <w:spacing w:val="0"/>
          <w:sz w:val="28"/>
          <w:szCs w:val="28"/>
          <w:u w:val="none"/>
        </w:rPr>
      </w:pPr>
      <w:r>
        <w:rPr>
          <w:rFonts w:hint="eastAsia" w:ascii="宋体" w:hAnsi="宋体" w:eastAsia="宋体" w:cs="宋体"/>
          <w:b/>
          <w:bCs/>
          <w:i w:val="0"/>
          <w:iCs w:val="0"/>
          <w:caps w:val="0"/>
          <w:color w:val="333333"/>
          <w:spacing w:val="0"/>
          <w:sz w:val="28"/>
          <w:szCs w:val="28"/>
          <w:u w:val="none"/>
        </w:rPr>
        <w:t>附件：</w:t>
      </w:r>
    </w:p>
    <w:p w14:paraId="75855396">
      <w:pPr>
        <w:spacing w:line="290" w:lineRule="auto"/>
        <w:jc w:val="center"/>
        <w:rPr>
          <w:rFonts w:hint="eastAsia" w:ascii="宋体" w:hAnsi="宋体" w:eastAsia="宋体" w:cs="宋体"/>
          <w:b/>
          <w:bCs/>
          <w:i w:val="0"/>
          <w:iCs w:val="0"/>
          <w:caps w:val="0"/>
          <w:color w:val="333333"/>
          <w:spacing w:val="0"/>
          <w:sz w:val="32"/>
          <w:szCs w:val="32"/>
          <w:u w:val="none"/>
        </w:rPr>
      </w:pPr>
    </w:p>
    <w:p w14:paraId="23B1B9F0">
      <w:pPr>
        <w:spacing w:line="290" w:lineRule="auto"/>
        <w:jc w:val="center"/>
        <w:rPr>
          <w:rFonts w:ascii="Arial"/>
          <w:b/>
          <w:bCs/>
          <w:sz w:val="32"/>
          <w:szCs w:val="32"/>
        </w:rPr>
      </w:pPr>
      <w:r>
        <w:rPr>
          <w:rStyle w:val="7"/>
          <w:rFonts w:hint="eastAsia" w:ascii="宋体" w:hAnsi="宋体" w:eastAsia="宋体" w:cs="宋体"/>
          <w:b/>
          <w:bCs/>
          <w:i w:val="0"/>
          <w:iCs w:val="0"/>
          <w:caps w:val="0"/>
          <w:color w:val="333333"/>
          <w:spacing w:val="0"/>
          <w:sz w:val="32"/>
          <w:szCs w:val="32"/>
          <w:u w:val="none"/>
        </w:rPr>
        <w:t>202</w:t>
      </w:r>
      <w:r>
        <w:rPr>
          <w:rStyle w:val="7"/>
          <w:rFonts w:hint="eastAsia" w:ascii="宋体" w:hAnsi="宋体" w:eastAsia="宋体" w:cs="宋体"/>
          <w:b/>
          <w:bCs/>
          <w:i w:val="0"/>
          <w:iCs w:val="0"/>
          <w:caps w:val="0"/>
          <w:color w:val="333333"/>
          <w:spacing w:val="0"/>
          <w:sz w:val="32"/>
          <w:szCs w:val="32"/>
          <w:u w:val="none"/>
          <w:lang w:val="en-US" w:eastAsia="zh-CN"/>
        </w:rPr>
        <w:t>6</w:t>
      </w:r>
      <w:r>
        <w:rPr>
          <w:rStyle w:val="7"/>
          <w:rFonts w:hint="eastAsia" w:ascii="宋体" w:hAnsi="宋体" w:eastAsia="宋体" w:cs="宋体"/>
          <w:b/>
          <w:bCs/>
          <w:i w:val="0"/>
          <w:iCs w:val="0"/>
          <w:caps w:val="0"/>
          <w:color w:val="333333"/>
          <w:spacing w:val="0"/>
          <w:sz w:val="32"/>
          <w:szCs w:val="32"/>
          <w:u w:val="none"/>
        </w:rPr>
        <w:t>年</w:t>
      </w:r>
      <w:r>
        <w:rPr>
          <w:rFonts w:hint="eastAsia" w:ascii="宋体" w:hAnsi="宋体" w:eastAsia="宋体" w:cs="宋体"/>
          <w:b/>
          <w:bCs/>
          <w:i w:val="0"/>
          <w:iCs w:val="0"/>
          <w:caps w:val="0"/>
          <w:color w:val="333333"/>
          <w:spacing w:val="0"/>
          <w:sz w:val="32"/>
          <w:szCs w:val="32"/>
          <w:u w:val="none"/>
        </w:rPr>
        <w:fldChar w:fldCharType="begin"/>
      </w:r>
      <w:r>
        <w:rPr>
          <w:rFonts w:hint="eastAsia" w:ascii="宋体" w:hAnsi="宋体" w:eastAsia="宋体" w:cs="宋体"/>
          <w:b/>
          <w:bCs/>
          <w:i w:val="0"/>
          <w:iCs w:val="0"/>
          <w:caps w:val="0"/>
          <w:color w:val="333333"/>
          <w:spacing w:val="0"/>
          <w:sz w:val="32"/>
          <w:szCs w:val="32"/>
          <w:u w:val="none"/>
        </w:rPr>
        <w:instrText xml:space="preserve"> HYPERLINK "https://jxjy.chzu.edu.cn/_upload/article/files/77/80/cd3c2787447f81a6b86d8889f62d/6dbb55fc-3827-486b-8419-fcacfe0ac9e3.doc" \o "附件：滁州学院2025年高等学历继续教育招生专业信息.doc" </w:instrText>
      </w:r>
      <w:r>
        <w:rPr>
          <w:rFonts w:hint="eastAsia" w:ascii="宋体" w:hAnsi="宋体" w:eastAsia="宋体" w:cs="宋体"/>
          <w:b/>
          <w:bCs/>
          <w:i w:val="0"/>
          <w:iCs w:val="0"/>
          <w:caps w:val="0"/>
          <w:color w:val="333333"/>
          <w:spacing w:val="0"/>
          <w:sz w:val="32"/>
          <w:szCs w:val="32"/>
          <w:u w:val="none"/>
        </w:rPr>
        <w:fldChar w:fldCharType="separate"/>
      </w:r>
      <w:r>
        <w:rPr>
          <w:rFonts w:hint="eastAsia" w:ascii="宋体" w:hAnsi="宋体" w:eastAsia="宋体" w:cs="宋体"/>
          <w:b/>
          <w:bCs/>
          <w:i w:val="0"/>
          <w:iCs w:val="0"/>
          <w:caps w:val="0"/>
          <w:color w:val="333333"/>
          <w:spacing w:val="0"/>
          <w:sz w:val="32"/>
          <w:szCs w:val="32"/>
          <w:u w:val="none"/>
          <w:lang w:val="en-US" w:eastAsia="zh-CN"/>
        </w:rPr>
        <w:t>巢湖</w:t>
      </w:r>
      <w:r>
        <w:rPr>
          <w:rStyle w:val="7"/>
          <w:rFonts w:hint="eastAsia" w:ascii="宋体" w:hAnsi="宋体" w:eastAsia="宋体" w:cs="宋体"/>
          <w:b/>
          <w:bCs/>
          <w:i w:val="0"/>
          <w:iCs w:val="0"/>
          <w:caps w:val="0"/>
          <w:color w:val="333333"/>
          <w:spacing w:val="0"/>
          <w:sz w:val="32"/>
          <w:szCs w:val="32"/>
          <w:u w:val="none"/>
        </w:rPr>
        <w:t>学院高等学历继续教育招生专业信息</w:t>
      </w:r>
      <w:r>
        <w:rPr>
          <w:rFonts w:hint="eastAsia" w:ascii="宋体" w:hAnsi="宋体" w:eastAsia="宋体" w:cs="宋体"/>
          <w:b/>
          <w:bCs/>
          <w:i w:val="0"/>
          <w:iCs w:val="0"/>
          <w:caps w:val="0"/>
          <w:color w:val="333333"/>
          <w:spacing w:val="0"/>
          <w:sz w:val="32"/>
          <w:szCs w:val="32"/>
          <w:u w:val="none"/>
        </w:rPr>
        <w:fldChar w:fldCharType="end"/>
      </w:r>
    </w:p>
    <w:tbl>
      <w:tblPr>
        <w:tblStyle w:val="8"/>
        <w:tblpPr w:leftFromText="180" w:rightFromText="180" w:vertAnchor="text" w:horzAnchor="page" w:tblpX="1226" w:tblpY="161"/>
        <w:tblOverlap w:val="never"/>
        <w:tblW w:w="982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5"/>
        <w:gridCol w:w="390"/>
        <w:gridCol w:w="6097"/>
        <w:gridCol w:w="553"/>
        <w:gridCol w:w="355"/>
        <w:gridCol w:w="387"/>
        <w:gridCol w:w="852"/>
        <w:gridCol w:w="697"/>
      </w:tblGrid>
      <w:tr w14:paraId="40B91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495" w:type="dxa"/>
            <w:vAlign w:val="top"/>
          </w:tcPr>
          <w:p w14:paraId="6124F328">
            <w:pPr>
              <w:pStyle w:val="9"/>
              <w:spacing w:before="235" w:line="204" w:lineRule="auto"/>
              <w:ind w:left="128" w:right="142" w:hanging="5"/>
              <w:rPr>
                <w:sz w:val="24"/>
                <w:szCs w:val="24"/>
              </w:rPr>
            </w:pPr>
            <w:r>
              <w:rPr>
                <w:b/>
                <w:bCs/>
                <w:spacing w:val="-19"/>
                <w:sz w:val="24"/>
                <w:szCs w:val="24"/>
              </w:rPr>
              <w:t>序</w:t>
            </w:r>
            <w:r>
              <w:rPr>
                <w:b/>
                <w:bCs/>
                <w:spacing w:val="-25"/>
                <w:sz w:val="24"/>
                <w:szCs w:val="24"/>
              </w:rPr>
              <w:t>号</w:t>
            </w:r>
          </w:p>
        </w:tc>
        <w:tc>
          <w:tcPr>
            <w:tcW w:w="390" w:type="dxa"/>
            <w:textDirection w:val="tbRlV"/>
            <w:vAlign w:val="top"/>
          </w:tcPr>
          <w:p w14:paraId="59BFE891">
            <w:pPr>
              <w:pStyle w:val="9"/>
              <w:spacing w:before="40" w:line="200" w:lineRule="auto"/>
              <w:rPr>
                <w:sz w:val="24"/>
                <w:szCs w:val="24"/>
              </w:rPr>
            </w:pPr>
            <w:r>
              <w:rPr>
                <w:b/>
                <w:bCs/>
                <w:spacing w:val="-3"/>
                <w:sz w:val="24"/>
                <w:szCs w:val="24"/>
              </w:rPr>
              <w:t>专业名称</w:t>
            </w:r>
          </w:p>
        </w:tc>
        <w:tc>
          <w:tcPr>
            <w:tcW w:w="6097" w:type="dxa"/>
            <w:vAlign w:val="top"/>
          </w:tcPr>
          <w:p w14:paraId="2A806CF0">
            <w:pPr>
              <w:spacing w:line="275" w:lineRule="auto"/>
              <w:jc w:val="both"/>
              <w:rPr>
                <w:rFonts w:ascii="Arial"/>
                <w:sz w:val="21"/>
              </w:rPr>
            </w:pPr>
          </w:p>
          <w:p w14:paraId="54F1EBE2">
            <w:pPr>
              <w:pStyle w:val="9"/>
              <w:spacing w:before="78" w:line="221" w:lineRule="auto"/>
              <w:ind w:left="2581"/>
              <w:jc w:val="both"/>
              <w:rPr>
                <w:sz w:val="24"/>
                <w:szCs w:val="24"/>
              </w:rPr>
            </w:pPr>
            <w:r>
              <w:rPr>
                <w:b/>
                <w:bCs/>
                <w:spacing w:val="-7"/>
                <w:sz w:val="24"/>
                <w:szCs w:val="24"/>
              </w:rPr>
              <w:t>专业简介</w:t>
            </w:r>
          </w:p>
        </w:tc>
        <w:tc>
          <w:tcPr>
            <w:tcW w:w="553" w:type="dxa"/>
            <w:vAlign w:val="top"/>
          </w:tcPr>
          <w:p w14:paraId="53125FD0">
            <w:pPr>
              <w:pStyle w:val="9"/>
              <w:spacing w:before="235" w:line="203" w:lineRule="auto"/>
              <w:ind w:left="171" w:right="153" w:firstLine="9"/>
              <w:jc w:val="both"/>
              <w:rPr>
                <w:sz w:val="24"/>
                <w:szCs w:val="24"/>
              </w:rPr>
            </w:pPr>
            <w:r>
              <w:rPr>
                <w:b/>
                <w:bCs/>
                <w:spacing w:val="-29"/>
                <w:sz w:val="24"/>
                <w:szCs w:val="24"/>
              </w:rPr>
              <w:t>学</w:t>
            </w:r>
            <w:r>
              <w:rPr>
                <w:b/>
                <w:bCs/>
                <w:spacing w:val="-20"/>
                <w:sz w:val="24"/>
                <w:szCs w:val="24"/>
              </w:rPr>
              <w:t>制</w:t>
            </w:r>
          </w:p>
        </w:tc>
        <w:tc>
          <w:tcPr>
            <w:tcW w:w="355" w:type="dxa"/>
            <w:vAlign w:val="top"/>
          </w:tcPr>
          <w:p w14:paraId="23B716A6">
            <w:pPr>
              <w:pStyle w:val="9"/>
              <w:spacing w:before="234" w:line="204" w:lineRule="auto"/>
              <w:ind w:left="124" w:right="4"/>
              <w:jc w:val="left"/>
              <w:rPr>
                <w:sz w:val="24"/>
                <w:szCs w:val="24"/>
              </w:rPr>
            </w:pPr>
            <w:r>
              <w:rPr>
                <w:b/>
                <w:bCs/>
                <w:spacing w:val="-22"/>
                <w:sz w:val="24"/>
                <w:szCs w:val="24"/>
              </w:rPr>
              <w:t>类别</w:t>
            </w:r>
          </w:p>
        </w:tc>
        <w:tc>
          <w:tcPr>
            <w:tcW w:w="387" w:type="dxa"/>
            <w:vAlign w:val="top"/>
          </w:tcPr>
          <w:p w14:paraId="7F833EB8">
            <w:pPr>
              <w:pStyle w:val="9"/>
              <w:spacing w:before="234" w:line="204" w:lineRule="auto"/>
              <w:ind w:left="122" w:right="35" w:firstLine="1"/>
              <w:jc w:val="both"/>
              <w:rPr>
                <w:sz w:val="24"/>
                <w:szCs w:val="24"/>
              </w:rPr>
            </w:pPr>
            <w:r>
              <w:rPr>
                <w:b/>
                <w:bCs/>
                <w:spacing w:val="-21"/>
                <w:sz w:val="24"/>
                <w:szCs w:val="24"/>
              </w:rPr>
              <w:t>层</w:t>
            </w:r>
            <w:r>
              <w:rPr>
                <w:b/>
                <w:bCs/>
                <w:spacing w:val="-19"/>
                <w:sz w:val="24"/>
                <w:szCs w:val="24"/>
              </w:rPr>
              <w:t>次</w:t>
            </w:r>
          </w:p>
        </w:tc>
        <w:tc>
          <w:tcPr>
            <w:tcW w:w="852" w:type="dxa"/>
            <w:vAlign w:val="top"/>
          </w:tcPr>
          <w:p w14:paraId="20FDA673">
            <w:pPr>
              <w:pStyle w:val="9"/>
              <w:spacing w:before="138" w:line="225" w:lineRule="auto"/>
              <w:ind w:left="126" w:right="107" w:firstLine="110"/>
              <w:jc w:val="both"/>
              <w:rPr>
                <w:sz w:val="20"/>
                <w:szCs w:val="20"/>
              </w:rPr>
            </w:pPr>
            <w:r>
              <w:rPr>
                <w:b/>
                <w:bCs/>
                <w:spacing w:val="-4"/>
                <w:sz w:val="20"/>
                <w:szCs w:val="20"/>
              </w:rPr>
              <w:t>学费</w:t>
            </w:r>
            <w:r>
              <w:rPr>
                <w:b/>
                <w:bCs/>
                <w:spacing w:val="2"/>
                <w:sz w:val="20"/>
                <w:szCs w:val="20"/>
              </w:rPr>
              <w:t>（每学</w:t>
            </w:r>
            <w:r>
              <w:rPr>
                <w:b/>
                <w:bCs/>
                <w:spacing w:val="46"/>
                <w:sz w:val="20"/>
                <w:szCs w:val="20"/>
              </w:rPr>
              <w:t>年）</w:t>
            </w:r>
          </w:p>
        </w:tc>
        <w:tc>
          <w:tcPr>
            <w:tcW w:w="697" w:type="dxa"/>
            <w:vAlign w:val="top"/>
          </w:tcPr>
          <w:p w14:paraId="644C86A4">
            <w:pPr>
              <w:pStyle w:val="9"/>
              <w:spacing w:before="236" w:line="207" w:lineRule="auto"/>
              <w:ind w:left="247" w:right="226" w:hanging="4"/>
              <w:jc w:val="both"/>
              <w:rPr>
                <w:rFonts w:hint="default" w:eastAsia="仿宋"/>
                <w:sz w:val="24"/>
                <w:szCs w:val="24"/>
                <w:lang w:val="en-US" w:eastAsia="zh-CN"/>
              </w:rPr>
            </w:pPr>
            <w:r>
              <w:rPr>
                <w:rFonts w:hint="eastAsia"/>
                <w:b/>
                <w:bCs/>
                <w:spacing w:val="-21"/>
                <w:sz w:val="21"/>
                <w:szCs w:val="21"/>
                <w:lang w:val="en-US" w:eastAsia="zh-CN"/>
              </w:rPr>
              <w:t>招生单位</w:t>
            </w:r>
          </w:p>
        </w:tc>
      </w:tr>
      <w:tr w14:paraId="2A4F3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9" w:hRule="atLeast"/>
        </w:trPr>
        <w:tc>
          <w:tcPr>
            <w:tcW w:w="495" w:type="dxa"/>
            <w:vAlign w:val="top"/>
          </w:tcPr>
          <w:p w14:paraId="6D16AF2C">
            <w:pPr>
              <w:spacing w:line="294" w:lineRule="auto"/>
              <w:rPr>
                <w:rFonts w:ascii="Arial"/>
                <w:sz w:val="21"/>
              </w:rPr>
            </w:pPr>
          </w:p>
          <w:p w14:paraId="7CFD0D6F">
            <w:pPr>
              <w:spacing w:line="295" w:lineRule="auto"/>
              <w:rPr>
                <w:rFonts w:ascii="Arial"/>
                <w:sz w:val="21"/>
              </w:rPr>
            </w:pPr>
          </w:p>
          <w:p w14:paraId="27AAF2CE">
            <w:pPr>
              <w:pStyle w:val="9"/>
              <w:spacing w:before="72" w:line="290" w:lineRule="exact"/>
              <w:ind w:left="213"/>
            </w:pPr>
            <w:r>
              <w:rPr>
                <w:position w:val="1"/>
              </w:rPr>
              <w:t>1</w:t>
            </w:r>
          </w:p>
        </w:tc>
        <w:tc>
          <w:tcPr>
            <w:tcW w:w="390" w:type="dxa"/>
            <w:textDirection w:val="tbRlV"/>
            <w:vAlign w:val="top"/>
          </w:tcPr>
          <w:p w14:paraId="3AD55A76">
            <w:pPr>
              <w:pStyle w:val="9"/>
              <w:spacing w:before="59" w:line="203" w:lineRule="auto"/>
              <w:ind w:left="184"/>
            </w:pPr>
            <w:r>
              <w:rPr>
                <w:b/>
                <w:bCs/>
                <w:spacing w:val="14"/>
              </w:rPr>
              <w:t>汉语言文学</w:t>
            </w:r>
          </w:p>
        </w:tc>
        <w:tc>
          <w:tcPr>
            <w:tcW w:w="6097" w:type="dxa"/>
            <w:vAlign w:val="top"/>
          </w:tcPr>
          <w:p w14:paraId="587A90E2">
            <w:pPr>
              <w:pStyle w:val="9"/>
              <w:spacing w:before="53" w:line="277" w:lineRule="auto"/>
              <w:ind w:left="116" w:right="48" w:firstLine="428"/>
              <w:rPr>
                <w:sz w:val="20"/>
                <w:szCs w:val="20"/>
              </w:rPr>
            </w:pPr>
            <w:r>
              <w:rPr>
                <w:spacing w:val="3"/>
                <w:sz w:val="20"/>
                <w:szCs w:val="20"/>
              </w:rPr>
              <w:t>系统学习掌握语言文字应用能力、处理古今文字材料的能力，</w:t>
            </w:r>
            <w:r>
              <w:rPr>
                <w:spacing w:val="9"/>
                <w:sz w:val="20"/>
                <w:szCs w:val="20"/>
              </w:rPr>
              <w:t>解读和分析古今作品文献的能力，掌握资料收集、文献检索、社会调查、论文写作等科学研究的能力。着力培养具有较强的综合</w:t>
            </w:r>
            <w:r>
              <w:rPr>
                <w:spacing w:val="10"/>
                <w:sz w:val="20"/>
                <w:szCs w:val="20"/>
              </w:rPr>
              <w:t>职业能力、创新精神和实践能力，能够从事文秘、新闻、公关、</w:t>
            </w:r>
            <w:r>
              <w:rPr>
                <w:spacing w:val="8"/>
                <w:sz w:val="20"/>
                <w:szCs w:val="20"/>
              </w:rPr>
              <w:t>文化产业管理等工作的高素质专门人才。</w:t>
            </w:r>
          </w:p>
        </w:tc>
        <w:tc>
          <w:tcPr>
            <w:tcW w:w="553" w:type="dxa"/>
            <w:vAlign w:val="top"/>
          </w:tcPr>
          <w:p w14:paraId="11C3979E">
            <w:pPr>
              <w:spacing w:line="471" w:lineRule="auto"/>
              <w:rPr>
                <w:rFonts w:ascii="Arial"/>
                <w:sz w:val="21"/>
              </w:rPr>
            </w:pPr>
          </w:p>
          <w:p w14:paraId="2AF4B931">
            <w:pPr>
              <w:pStyle w:val="9"/>
              <w:spacing w:before="71" w:line="212" w:lineRule="auto"/>
              <w:ind w:left="183" w:right="109" w:hanging="66"/>
            </w:pPr>
            <w:r>
              <w:rPr>
                <w:spacing w:val="-4"/>
              </w:rPr>
              <w:t>2.5</w:t>
            </w:r>
            <w:r>
              <w:t>年</w:t>
            </w:r>
          </w:p>
        </w:tc>
        <w:tc>
          <w:tcPr>
            <w:tcW w:w="355" w:type="dxa"/>
            <w:textDirection w:val="tbRlV"/>
            <w:vAlign w:val="top"/>
          </w:tcPr>
          <w:p w14:paraId="6F15F236">
            <w:pPr>
              <w:pStyle w:val="9"/>
              <w:spacing w:before="23" w:line="202" w:lineRule="auto"/>
              <w:ind w:left="424"/>
            </w:pPr>
            <w:r>
              <w:rPr>
                <w:spacing w:val="15"/>
              </w:rPr>
              <w:t>非脱产</w:t>
            </w:r>
          </w:p>
        </w:tc>
        <w:tc>
          <w:tcPr>
            <w:tcW w:w="387" w:type="dxa"/>
            <w:textDirection w:val="tbRlV"/>
            <w:vAlign w:val="top"/>
          </w:tcPr>
          <w:p w14:paraId="7FA73A71">
            <w:pPr>
              <w:pStyle w:val="9"/>
              <w:spacing w:before="54" w:line="202" w:lineRule="auto"/>
              <w:ind w:left="424"/>
            </w:pPr>
            <w:r>
              <w:rPr>
                <w:spacing w:val="15"/>
              </w:rPr>
              <w:t>专升本</w:t>
            </w:r>
          </w:p>
        </w:tc>
        <w:tc>
          <w:tcPr>
            <w:tcW w:w="852" w:type="dxa"/>
            <w:vAlign w:val="top"/>
          </w:tcPr>
          <w:p w14:paraId="3D9B99A7">
            <w:pPr>
              <w:spacing w:line="471" w:lineRule="auto"/>
              <w:rPr>
                <w:rFonts w:ascii="Arial"/>
                <w:sz w:val="21"/>
              </w:rPr>
            </w:pPr>
          </w:p>
          <w:p w14:paraId="2B74AB1E">
            <w:pPr>
              <w:pStyle w:val="9"/>
              <w:spacing w:before="72" w:line="214" w:lineRule="auto"/>
              <w:ind w:left="332" w:right="201" w:hanging="104"/>
            </w:pPr>
            <w:r>
              <w:rPr>
                <w:spacing w:val="-6"/>
              </w:rPr>
              <w:t>1100</w:t>
            </w:r>
            <w:r>
              <w:t>元</w:t>
            </w:r>
          </w:p>
        </w:tc>
        <w:tc>
          <w:tcPr>
            <w:tcW w:w="697" w:type="dxa"/>
            <w:vAlign w:val="top"/>
          </w:tcPr>
          <w:p w14:paraId="3B0A5953">
            <w:pPr>
              <w:pStyle w:val="9"/>
              <w:spacing w:before="65" w:line="201" w:lineRule="auto"/>
              <w:ind w:left="139"/>
            </w:pPr>
            <w:r>
              <w:rPr>
                <w:spacing w:val="-7"/>
              </w:rPr>
              <w:t>校本</w:t>
            </w:r>
          </w:p>
          <w:p w14:paraId="6DC9F892">
            <w:pPr>
              <w:pStyle w:val="9"/>
              <w:spacing w:line="201" w:lineRule="auto"/>
              <w:ind w:left="140"/>
            </w:pPr>
            <w:r>
              <w:rPr>
                <w:spacing w:val="-8"/>
              </w:rPr>
              <w:t>部、</w:t>
            </w:r>
          </w:p>
          <w:p w14:paraId="303097B0">
            <w:pPr>
              <w:pStyle w:val="9"/>
              <w:spacing w:line="201" w:lineRule="auto"/>
              <w:ind w:left="138"/>
            </w:pPr>
            <w:r>
              <w:rPr>
                <w:rFonts w:hint="eastAsia"/>
                <w:spacing w:val="-7"/>
                <w:lang w:val="en-US" w:eastAsia="zh-CN"/>
              </w:rPr>
              <w:t>亳州</w:t>
            </w:r>
            <w:r>
              <w:rPr>
                <w:spacing w:val="-7"/>
              </w:rPr>
              <w:t>教学</w:t>
            </w:r>
          </w:p>
          <w:p w14:paraId="73DEAF98">
            <w:pPr>
              <w:pStyle w:val="9"/>
              <w:spacing w:before="1" w:line="223" w:lineRule="auto"/>
              <w:ind w:left="138" w:leftChars="0"/>
            </w:pPr>
            <w:r>
              <w:rPr>
                <w:spacing w:val="-13"/>
              </w:rPr>
              <w:t>点</w:t>
            </w:r>
          </w:p>
        </w:tc>
      </w:tr>
      <w:tr w14:paraId="43818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9" w:hRule="atLeast"/>
        </w:trPr>
        <w:tc>
          <w:tcPr>
            <w:tcW w:w="495" w:type="dxa"/>
            <w:vAlign w:val="top"/>
          </w:tcPr>
          <w:p w14:paraId="054D7898">
            <w:pPr>
              <w:spacing w:line="295" w:lineRule="auto"/>
              <w:rPr>
                <w:rFonts w:ascii="Arial"/>
                <w:sz w:val="21"/>
              </w:rPr>
            </w:pPr>
          </w:p>
          <w:p w14:paraId="7A202C56">
            <w:pPr>
              <w:spacing w:line="295" w:lineRule="auto"/>
              <w:rPr>
                <w:rFonts w:ascii="Arial"/>
                <w:sz w:val="21"/>
              </w:rPr>
            </w:pPr>
          </w:p>
          <w:p w14:paraId="166E662D">
            <w:pPr>
              <w:pStyle w:val="9"/>
              <w:spacing w:before="71" w:line="290" w:lineRule="exact"/>
              <w:ind w:left="199"/>
            </w:pPr>
            <w:r>
              <w:rPr>
                <w:position w:val="1"/>
              </w:rPr>
              <w:t>2</w:t>
            </w:r>
          </w:p>
        </w:tc>
        <w:tc>
          <w:tcPr>
            <w:tcW w:w="390" w:type="dxa"/>
            <w:vAlign w:val="top"/>
          </w:tcPr>
          <w:p w14:paraId="1C844B30">
            <w:pPr>
              <w:spacing w:line="470" w:lineRule="auto"/>
              <w:rPr>
                <w:rFonts w:ascii="Arial"/>
                <w:sz w:val="21"/>
              </w:rPr>
            </w:pPr>
          </w:p>
          <w:p w14:paraId="5D0C23BA">
            <w:pPr>
              <w:pStyle w:val="9"/>
              <w:spacing w:before="71" w:line="213" w:lineRule="auto"/>
              <w:ind w:left="128" w:right="59" w:hanging="2"/>
            </w:pPr>
            <w:r>
              <w:rPr>
                <w:b/>
                <w:bCs/>
                <w:spacing w:val="-23"/>
              </w:rPr>
              <w:t>法</w:t>
            </w:r>
            <w:r>
              <w:rPr>
                <w:b/>
                <w:bCs/>
                <w:spacing w:val="-26"/>
              </w:rPr>
              <w:t>学</w:t>
            </w:r>
          </w:p>
        </w:tc>
        <w:tc>
          <w:tcPr>
            <w:tcW w:w="6097" w:type="dxa"/>
            <w:vAlign w:val="top"/>
          </w:tcPr>
          <w:p w14:paraId="0BA79A09">
            <w:pPr>
              <w:pStyle w:val="9"/>
              <w:spacing w:before="53" w:line="277" w:lineRule="auto"/>
              <w:ind w:left="116" w:right="111" w:firstLine="428"/>
              <w:jc w:val="both"/>
              <w:rPr>
                <w:sz w:val="20"/>
                <w:szCs w:val="20"/>
              </w:rPr>
            </w:pPr>
            <w:r>
              <w:rPr>
                <w:spacing w:val="9"/>
                <w:sz w:val="20"/>
                <w:szCs w:val="20"/>
              </w:rPr>
              <w:t>系统学习掌握法学基本知识和基本理论，</w:t>
            </w:r>
            <w:r>
              <w:rPr>
                <w:rFonts w:hint="eastAsia"/>
                <w:spacing w:val="9"/>
                <w:sz w:val="20"/>
                <w:szCs w:val="20"/>
                <w:lang w:val="en-US" w:eastAsia="zh-CN"/>
              </w:rPr>
              <w:t>接受</w:t>
            </w:r>
            <w:r>
              <w:rPr>
                <w:spacing w:val="9"/>
                <w:sz w:val="20"/>
                <w:szCs w:val="20"/>
              </w:rPr>
              <w:t>法学思维、法律实务操作等方面的基本训练。着力培养具备高质量的法律服务能力和创新创业能力，毕业后既能胜任国家机关、事业单位相关岗位工作，又能胜任法律服务机构与企业法律实务岗位工作的应</w:t>
            </w:r>
            <w:r>
              <w:rPr>
                <w:spacing w:val="4"/>
                <w:sz w:val="20"/>
                <w:szCs w:val="20"/>
              </w:rPr>
              <w:t>用型人才。</w:t>
            </w:r>
          </w:p>
        </w:tc>
        <w:tc>
          <w:tcPr>
            <w:tcW w:w="553" w:type="dxa"/>
            <w:vAlign w:val="top"/>
          </w:tcPr>
          <w:p w14:paraId="461745E7">
            <w:pPr>
              <w:spacing w:line="471" w:lineRule="auto"/>
              <w:rPr>
                <w:rFonts w:ascii="Arial"/>
                <w:sz w:val="21"/>
              </w:rPr>
            </w:pPr>
          </w:p>
          <w:p w14:paraId="14F50C33">
            <w:pPr>
              <w:pStyle w:val="9"/>
              <w:spacing w:before="72" w:line="212" w:lineRule="auto"/>
              <w:ind w:left="183" w:right="109" w:hanging="66"/>
            </w:pPr>
            <w:r>
              <w:rPr>
                <w:spacing w:val="-4"/>
              </w:rPr>
              <w:t>2.5</w:t>
            </w:r>
            <w:r>
              <w:t>年</w:t>
            </w:r>
          </w:p>
        </w:tc>
        <w:tc>
          <w:tcPr>
            <w:tcW w:w="355" w:type="dxa"/>
            <w:textDirection w:val="tbRlV"/>
            <w:vAlign w:val="top"/>
          </w:tcPr>
          <w:p w14:paraId="1D6A04E7">
            <w:pPr>
              <w:pStyle w:val="9"/>
              <w:spacing w:before="23" w:line="202" w:lineRule="auto"/>
              <w:ind w:left="425"/>
            </w:pPr>
            <w:r>
              <w:rPr>
                <w:spacing w:val="15"/>
              </w:rPr>
              <w:t>非脱产</w:t>
            </w:r>
          </w:p>
        </w:tc>
        <w:tc>
          <w:tcPr>
            <w:tcW w:w="387" w:type="dxa"/>
            <w:textDirection w:val="tbRlV"/>
            <w:vAlign w:val="top"/>
          </w:tcPr>
          <w:p w14:paraId="73DBAC98">
            <w:pPr>
              <w:pStyle w:val="9"/>
              <w:spacing w:before="54" w:line="202" w:lineRule="auto"/>
              <w:ind w:left="425"/>
            </w:pPr>
            <w:r>
              <w:rPr>
                <w:spacing w:val="15"/>
              </w:rPr>
              <w:t>专升本</w:t>
            </w:r>
          </w:p>
        </w:tc>
        <w:tc>
          <w:tcPr>
            <w:tcW w:w="852" w:type="dxa"/>
            <w:vAlign w:val="top"/>
          </w:tcPr>
          <w:p w14:paraId="05F764E6">
            <w:pPr>
              <w:spacing w:line="472" w:lineRule="auto"/>
              <w:rPr>
                <w:rFonts w:ascii="Arial"/>
                <w:sz w:val="21"/>
              </w:rPr>
            </w:pPr>
          </w:p>
          <w:p w14:paraId="43F9E0A5">
            <w:pPr>
              <w:pStyle w:val="9"/>
              <w:spacing w:before="71" w:line="214" w:lineRule="auto"/>
              <w:ind w:left="332" w:right="201" w:hanging="104"/>
            </w:pPr>
            <w:r>
              <w:rPr>
                <w:spacing w:val="-6"/>
              </w:rPr>
              <w:t>1100</w:t>
            </w:r>
            <w:r>
              <w:t>元</w:t>
            </w:r>
          </w:p>
        </w:tc>
        <w:tc>
          <w:tcPr>
            <w:tcW w:w="697" w:type="dxa"/>
            <w:vAlign w:val="top"/>
          </w:tcPr>
          <w:p w14:paraId="17B6A2AE">
            <w:pPr>
              <w:pStyle w:val="9"/>
              <w:spacing w:before="65" w:line="201" w:lineRule="auto"/>
              <w:ind w:left="139"/>
            </w:pPr>
            <w:r>
              <w:rPr>
                <w:spacing w:val="-7"/>
              </w:rPr>
              <w:t>校本</w:t>
            </w:r>
          </w:p>
          <w:p w14:paraId="43C95CF0">
            <w:pPr>
              <w:pStyle w:val="9"/>
              <w:spacing w:line="201" w:lineRule="auto"/>
              <w:ind w:left="140"/>
            </w:pPr>
            <w:r>
              <w:rPr>
                <w:spacing w:val="-8"/>
              </w:rPr>
              <w:t>部、</w:t>
            </w:r>
          </w:p>
          <w:p w14:paraId="58F34ADC">
            <w:pPr>
              <w:pStyle w:val="9"/>
              <w:spacing w:line="201" w:lineRule="auto"/>
              <w:ind w:left="138"/>
            </w:pPr>
            <w:r>
              <w:rPr>
                <w:rFonts w:hint="eastAsia"/>
                <w:spacing w:val="-7"/>
                <w:lang w:val="en-US" w:eastAsia="zh-CN"/>
              </w:rPr>
              <w:t>亳州</w:t>
            </w:r>
            <w:r>
              <w:rPr>
                <w:spacing w:val="-7"/>
              </w:rPr>
              <w:t>教学</w:t>
            </w:r>
          </w:p>
          <w:p w14:paraId="53076773">
            <w:pPr>
              <w:pStyle w:val="9"/>
              <w:spacing w:before="65" w:line="201" w:lineRule="auto"/>
              <w:ind w:left="139" w:leftChars="0"/>
            </w:pPr>
            <w:r>
              <w:rPr>
                <w:spacing w:val="-13"/>
              </w:rPr>
              <w:t>点</w:t>
            </w:r>
          </w:p>
        </w:tc>
      </w:tr>
      <w:tr w14:paraId="18666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3" w:hRule="atLeast"/>
        </w:trPr>
        <w:tc>
          <w:tcPr>
            <w:tcW w:w="495" w:type="dxa"/>
            <w:vAlign w:val="top"/>
          </w:tcPr>
          <w:p w14:paraId="17D99F55">
            <w:pPr>
              <w:spacing w:line="300" w:lineRule="auto"/>
              <w:rPr>
                <w:rFonts w:ascii="Arial"/>
                <w:sz w:val="21"/>
              </w:rPr>
            </w:pPr>
          </w:p>
          <w:p w14:paraId="3F993AF8">
            <w:pPr>
              <w:spacing w:line="300" w:lineRule="auto"/>
              <w:rPr>
                <w:rFonts w:ascii="Arial"/>
                <w:sz w:val="21"/>
              </w:rPr>
            </w:pPr>
          </w:p>
          <w:p w14:paraId="1D6420D5">
            <w:pPr>
              <w:spacing w:line="300" w:lineRule="auto"/>
              <w:rPr>
                <w:rFonts w:ascii="Arial"/>
                <w:sz w:val="21"/>
              </w:rPr>
            </w:pPr>
          </w:p>
          <w:p w14:paraId="01274D6D">
            <w:pPr>
              <w:pStyle w:val="9"/>
              <w:spacing w:before="72" w:line="242" w:lineRule="auto"/>
              <w:ind w:left="201"/>
            </w:pPr>
            <w:r>
              <w:t>3</w:t>
            </w:r>
          </w:p>
        </w:tc>
        <w:tc>
          <w:tcPr>
            <w:tcW w:w="390" w:type="dxa"/>
            <w:textDirection w:val="tbRlV"/>
            <w:vAlign w:val="top"/>
          </w:tcPr>
          <w:p w14:paraId="5F6F7C4C">
            <w:pPr>
              <w:pStyle w:val="9"/>
              <w:spacing w:before="59" w:line="202" w:lineRule="auto"/>
              <w:ind w:left="618"/>
            </w:pPr>
            <w:r>
              <w:rPr>
                <w:b/>
                <w:bCs/>
                <w:spacing w:val="14"/>
              </w:rPr>
              <w:t>学前教育</w:t>
            </w:r>
          </w:p>
        </w:tc>
        <w:tc>
          <w:tcPr>
            <w:tcW w:w="6097" w:type="dxa"/>
            <w:vAlign w:val="top"/>
          </w:tcPr>
          <w:p w14:paraId="0EBE1F11">
            <w:pPr>
              <w:pStyle w:val="9"/>
              <w:spacing w:before="54" w:line="280" w:lineRule="auto"/>
              <w:ind w:left="116" w:right="108" w:firstLine="428"/>
              <w:rPr>
                <w:sz w:val="20"/>
                <w:szCs w:val="20"/>
              </w:rPr>
            </w:pPr>
            <w:r>
              <w:rPr>
                <w:spacing w:val="9"/>
                <w:sz w:val="20"/>
                <w:szCs w:val="20"/>
              </w:rPr>
              <w:t>系统学习掌握本专业发展趋势与动态，基本功扎实，幼儿园保教、研究和管理能力强；能歌善舞、能弹善画等艺术表演能力和能说会写、能教会管以及能研究善制作等专业操作能力及良好的人际沟通与协调能力。着力培养具备扎实的学前教育专业理论和实践技能的集保教、管理和教育研究能力为一体的“基础实、</w:t>
            </w:r>
            <w:r>
              <w:rPr>
                <w:spacing w:val="8"/>
                <w:sz w:val="20"/>
                <w:szCs w:val="20"/>
              </w:rPr>
              <w:t>技能熟、能力强、适应快</w:t>
            </w:r>
            <w:r>
              <w:rPr>
                <w:spacing w:val="-62"/>
                <w:sz w:val="20"/>
                <w:szCs w:val="20"/>
              </w:rPr>
              <w:t xml:space="preserve"> </w:t>
            </w:r>
            <w:r>
              <w:rPr>
                <w:spacing w:val="8"/>
                <w:sz w:val="20"/>
                <w:szCs w:val="20"/>
              </w:rPr>
              <w:t>”，富有爱心、耐心、细心和社会责任</w:t>
            </w:r>
            <w:r>
              <w:rPr>
                <w:spacing w:val="7"/>
                <w:sz w:val="20"/>
                <w:szCs w:val="20"/>
              </w:rPr>
              <w:t>感的学前教育领域专门人才。</w:t>
            </w:r>
          </w:p>
        </w:tc>
        <w:tc>
          <w:tcPr>
            <w:tcW w:w="553" w:type="dxa"/>
            <w:vAlign w:val="top"/>
          </w:tcPr>
          <w:p w14:paraId="3F386691">
            <w:pPr>
              <w:spacing w:line="260" w:lineRule="auto"/>
              <w:rPr>
                <w:rFonts w:ascii="Arial"/>
                <w:sz w:val="21"/>
              </w:rPr>
            </w:pPr>
          </w:p>
          <w:p w14:paraId="6D766118">
            <w:pPr>
              <w:spacing w:line="261" w:lineRule="auto"/>
              <w:rPr>
                <w:rFonts w:ascii="Arial"/>
                <w:sz w:val="21"/>
              </w:rPr>
            </w:pPr>
          </w:p>
          <w:p w14:paraId="6CAA0CBF">
            <w:pPr>
              <w:spacing w:line="261" w:lineRule="auto"/>
              <w:rPr>
                <w:rFonts w:ascii="Arial"/>
                <w:sz w:val="21"/>
              </w:rPr>
            </w:pPr>
          </w:p>
          <w:p w14:paraId="37EDC481">
            <w:pPr>
              <w:pStyle w:val="9"/>
              <w:spacing w:before="71" w:line="212" w:lineRule="auto"/>
              <w:ind w:left="183" w:right="109" w:hanging="66"/>
            </w:pPr>
            <w:r>
              <w:rPr>
                <w:spacing w:val="-4"/>
              </w:rPr>
              <w:t>2.5</w:t>
            </w:r>
            <w:r>
              <w:t>年</w:t>
            </w:r>
          </w:p>
        </w:tc>
        <w:tc>
          <w:tcPr>
            <w:tcW w:w="355" w:type="dxa"/>
            <w:textDirection w:val="tbRlV"/>
            <w:vAlign w:val="top"/>
          </w:tcPr>
          <w:p w14:paraId="4B893BE3">
            <w:pPr>
              <w:pStyle w:val="9"/>
              <w:spacing w:before="23" w:line="202" w:lineRule="auto"/>
              <w:ind w:left="738"/>
            </w:pPr>
            <w:r>
              <w:rPr>
                <w:spacing w:val="15"/>
              </w:rPr>
              <w:t>非脱产</w:t>
            </w:r>
          </w:p>
        </w:tc>
        <w:tc>
          <w:tcPr>
            <w:tcW w:w="387" w:type="dxa"/>
            <w:textDirection w:val="tbRlV"/>
            <w:vAlign w:val="top"/>
          </w:tcPr>
          <w:p w14:paraId="787DE256">
            <w:pPr>
              <w:pStyle w:val="9"/>
              <w:spacing w:before="54" w:line="202" w:lineRule="auto"/>
              <w:ind w:left="738"/>
            </w:pPr>
            <w:r>
              <w:rPr>
                <w:spacing w:val="15"/>
              </w:rPr>
              <w:t>专升本</w:t>
            </w:r>
          </w:p>
        </w:tc>
        <w:tc>
          <w:tcPr>
            <w:tcW w:w="852" w:type="dxa"/>
            <w:vAlign w:val="top"/>
          </w:tcPr>
          <w:p w14:paraId="6161D98A">
            <w:pPr>
              <w:spacing w:line="260" w:lineRule="auto"/>
              <w:rPr>
                <w:rFonts w:ascii="Arial"/>
                <w:sz w:val="21"/>
              </w:rPr>
            </w:pPr>
          </w:p>
          <w:p w14:paraId="059F75D9">
            <w:pPr>
              <w:spacing w:line="261" w:lineRule="auto"/>
              <w:rPr>
                <w:rFonts w:ascii="Arial"/>
                <w:sz w:val="21"/>
              </w:rPr>
            </w:pPr>
          </w:p>
          <w:p w14:paraId="232952DF">
            <w:pPr>
              <w:spacing w:line="261" w:lineRule="auto"/>
              <w:rPr>
                <w:rFonts w:ascii="Arial"/>
                <w:sz w:val="21"/>
              </w:rPr>
            </w:pPr>
          </w:p>
          <w:p w14:paraId="5EC5D000">
            <w:pPr>
              <w:pStyle w:val="9"/>
              <w:spacing w:before="72" w:line="214" w:lineRule="auto"/>
              <w:ind w:left="332" w:right="201" w:hanging="104"/>
            </w:pPr>
            <w:r>
              <w:rPr>
                <w:spacing w:val="-6"/>
              </w:rPr>
              <w:t>1100</w:t>
            </w:r>
            <w:r>
              <w:t>元</w:t>
            </w:r>
          </w:p>
        </w:tc>
        <w:tc>
          <w:tcPr>
            <w:tcW w:w="697" w:type="dxa"/>
            <w:vAlign w:val="top"/>
          </w:tcPr>
          <w:p w14:paraId="7DCD78A6">
            <w:pPr>
              <w:pStyle w:val="9"/>
              <w:spacing w:before="65" w:line="201" w:lineRule="auto"/>
              <w:ind w:left="139"/>
            </w:pPr>
            <w:r>
              <w:rPr>
                <w:spacing w:val="-7"/>
              </w:rPr>
              <w:t>校本</w:t>
            </w:r>
          </w:p>
          <w:p w14:paraId="446E33BB">
            <w:pPr>
              <w:pStyle w:val="9"/>
              <w:spacing w:line="201" w:lineRule="auto"/>
              <w:ind w:left="140"/>
            </w:pPr>
            <w:r>
              <w:rPr>
                <w:spacing w:val="-8"/>
              </w:rPr>
              <w:t>部、</w:t>
            </w:r>
          </w:p>
          <w:p w14:paraId="16C19524">
            <w:pPr>
              <w:pStyle w:val="9"/>
              <w:spacing w:line="201" w:lineRule="auto"/>
              <w:ind w:left="138"/>
            </w:pPr>
            <w:r>
              <w:rPr>
                <w:rFonts w:hint="eastAsia"/>
                <w:spacing w:val="-7"/>
                <w:lang w:val="en-US" w:eastAsia="zh-CN"/>
              </w:rPr>
              <w:t>亳州</w:t>
            </w:r>
            <w:r>
              <w:rPr>
                <w:spacing w:val="-7"/>
              </w:rPr>
              <w:t>教学</w:t>
            </w:r>
          </w:p>
          <w:p w14:paraId="5586BD96">
            <w:pPr>
              <w:pStyle w:val="9"/>
              <w:spacing w:before="1" w:line="223" w:lineRule="auto"/>
              <w:ind w:left="138" w:leftChars="0"/>
            </w:pPr>
            <w:r>
              <w:rPr>
                <w:spacing w:val="-13"/>
              </w:rPr>
              <w:t>点</w:t>
            </w:r>
          </w:p>
        </w:tc>
      </w:tr>
      <w:tr w14:paraId="2D8C4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8" w:hRule="atLeast"/>
        </w:trPr>
        <w:tc>
          <w:tcPr>
            <w:tcW w:w="495" w:type="dxa"/>
            <w:vAlign w:val="top"/>
          </w:tcPr>
          <w:p w14:paraId="745D158F">
            <w:pPr>
              <w:spacing w:line="300" w:lineRule="auto"/>
              <w:rPr>
                <w:rFonts w:ascii="Arial"/>
                <w:sz w:val="21"/>
              </w:rPr>
            </w:pPr>
          </w:p>
          <w:p w14:paraId="691E5AB6">
            <w:pPr>
              <w:spacing w:line="300" w:lineRule="auto"/>
              <w:rPr>
                <w:rFonts w:ascii="Arial"/>
                <w:sz w:val="21"/>
              </w:rPr>
            </w:pPr>
          </w:p>
          <w:p w14:paraId="0201885C">
            <w:pPr>
              <w:spacing w:line="301" w:lineRule="auto"/>
              <w:rPr>
                <w:rFonts w:ascii="Arial"/>
                <w:sz w:val="21"/>
              </w:rPr>
            </w:pPr>
          </w:p>
          <w:p w14:paraId="32ED40DE">
            <w:pPr>
              <w:pStyle w:val="9"/>
              <w:spacing w:before="72" w:line="290" w:lineRule="exact"/>
              <w:ind w:left="195"/>
            </w:pPr>
            <w:r>
              <w:rPr>
                <w:position w:val="1"/>
              </w:rPr>
              <w:t>4</w:t>
            </w:r>
          </w:p>
        </w:tc>
        <w:tc>
          <w:tcPr>
            <w:tcW w:w="390" w:type="dxa"/>
            <w:textDirection w:val="tbRlV"/>
            <w:vAlign w:val="top"/>
          </w:tcPr>
          <w:p w14:paraId="6A129CD6">
            <w:pPr>
              <w:pStyle w:val="9"/>
              <w:spacing w:before="60" w:line="202" w:lineRule="auto"/>
              <w:ind w:left="618"/>
            </w:pPr>
            <w:r>
              <w:rPr>
                <w:b/>
                <w:bCs/>
                <w:spacing w:val="14"/>
              </w:rPr>
              <w:t>应用化学</w:t>
            </w:r>
          </w:p>
        </w:tc>
        <w:tc>
          <w:tcPr>
            <w:tcW w:w="6097" w:type="dxa"/>
            <w:vAlign w:val="top"/>
          </w:tcPr>
          <w:p w14:paraId="1C7C2754">
            <w:pPr>
              <w:pStyle w:val="9"/>
              <w:spacing w:before="54" w:line="280" w:lineRule="auto"/>
              <w:ind w:left="116" w:right="38" w:firstLine="428"/>
              <w:jc w:val="both"/>
              <w:rPr>
                <w:sz w:val="20"/>
                <w:szCs w:val="20"/>
              </w:rPr>
            </w:pPr>
            <w:r>
              <w:rPr>
                <w:spacing w:val="9"/>
                <w:sz w:val="20"/>
                <w:szCs w:val="20"/>
              </w:rPr>
              <w:t>系统学习掌握应用化学学科的理论前沿、应用前景和最新发</w:t>
            </w:r>
            <w:r>
              <w:rPr>
                <w:spacing w:val="7"/>
                <w:sz w:val="20"/>
                <w:szCs w:val="20"/>
              </w:rPr>
              <w:t>展动态，</w:t>
            </w:r>
            <w:r>
              <w:rPr>
                <w:spacing w:val="-33"/>
                <w:sz w:val="20"/>
                <w:szCs w:val="20"/>
              </w:rPr>
              <w:t xml:space="preserve"> </w:t>
            </w:r>
            <w:r>
              <w:rPr>
                <w:spacing w:val="7"/>
                <w:sz w:val="20"/>
                <w:szCs w:val="20"/>
              </w:rPr>
              <w:t>了解化学科学发展的最新研究成果，具备一定的创造精</w:t>
            </w:r>
            <w:r>
              <w:rPr>
                <w:spacing w:val="9"/>
                <w:sz w:val="20"/>
                <w:szCs w:val="20"/>
              </w:rPr>
              <w:t>神和实践能力；具有一定的实验设计与实施、实验结果归纳与分析、撰写论文、参与学术交流的能力。着力培养能够较系统扎实地掌握化学基础知识、基本理论和基本技能，运用所学知识和技</w:t>
            </w:r>
            <w:r>
              <w:rPr>
                <w:spacing w:val="5"/>
                <w:sz w:val="20"/>
                <w:szCs w:val="20"/>
              </w:rPr>
              <w:t>能解决实际问题，富有创新意识，能在精细化</w:t>
            </w:r>
            <w:r>
              <w:rPr>
                <w:spacing w:val="4"/>
                <w:sz w:val="20"/>
                <w:szCs w:val="20"/>
              </w:rPr>
              <w:t>工等领域从事生产、</w:t>
            </w:r>
            <w:r>
              <w:rPr>
                <w:spacing w:val="8"/>
                <w:sz w:val="20"/>
                <w:szCs w:val="20"/>
              </w:rPr>
              <w:t>设计、研究、开发等方面的应用型高级专业人才。</w:t>
            </w:r>
          </w:p>
        </w:tc>
        <w:tc>
          <w:tcPr>
            <w:tcW w:w="553" w:type="dxa"/>
            <w:vAlign w:val="top"/>
          </w:tcPr>
          <w:p w14:paraId="1280D276">
            <w:pPr>
              <w:spacing w:line="261" w:lineRule="auto"/>
              <w:rPr>
                <w:rFonts w:ascii="Arial"/>
                <w:sz w:val="21"/>
              </w:rPr>
            </w:pPr>
          </w:p>
          <w:p w14:paraId="588442F9">
            <w:pPr>
              <w:spacing w:line="261" w:lineRule="auto"/>
              <w:rPr>
                <w:rFonts w:ascii="Arial"/>
                <w:sz w:val="21"/>
              </w:rPr>
            </w:pPr>
          </w:p>
          <w:p w14:paraId="49FDC971">
            <w:pPr>
              <w:spacing w:line="261" w:lineRule="auto"/>
              <w:rPr>
                <w:rFonts w:ascii="Arial"/>
                <w:sz w:val="21"/>
              </w:rPr>
            </w:pPr>
          </w:p>
          <w:p w14:paraId="6C1E658B">
            <w:pPr>
              <w:pStyle w:val="9"/>
              <w:spacing w:before="71" w:line="212" w:lineRule="auto"/>
              <w:ind w:left="183" w:right="109" w:hanging="66"/>
            </w:pPr>
            <w:r>
              <w:rPr>
                <w:spacing w:val="-4"/>
              </w:rPr>
              <w:t>2.5</w:t>
            </w:r>
            <w:r>
              <w:t>年</w:t>
            </w:r>
          </w:p>
        </w:tc>
        <w:tc>
          <w:tcPr>
            <w:tcW w:w="355" w:type="dxa"/>
            <w:textDirection w:val="tbRlV"/>
            <w:vAlign w:val="top"/>
          </w:tcPr>
          <w:p w14:paraId="7D46743E">
            <w:pPr>
              <w:pStyle w:val="9"/>
              <w:spacing w:before="23" w:line="202" w:lineRule="auto"/>
              <w:ind w:left="738"/>
            </w:pPr>
            <w:r>
              <w:rPr>
                <w:spacing w:val="15"/>
              </w:rPr>
              <w:t>非脱产</w:t>
            </w:r>
          </w:p>
        </w:tc>
        <w:tc>
          <w:tcPr>
            <w:tcW w:w="387" w:type="dxa"/>
            <w:textDirection w:val="tbRlV"/>
            <w:vAlign w:val="top"/>
          </w:tcPr>
          <w:p w14:paraId="2311ED50">
            <w:pPr>
              <w:pStyle w:val="9"/>
              <w:spacing w:before="54" w:line="202" w:lineRule="auto"/>
              <w:ind w:left="738"/>
            </w:pPr>
            <w:r>
              <w:rPr>
                <w:spacing w:val="15"/>
              </w:rPr>
              <w:t>专升本</w:t>
            </w:r>
          </w:p>
        </w:tc>
        <w:tc>
          <w:tcPr>
            <w:tcW w:w="852" w:type="dxa"/>
            <w:vAlign w:val="top"/>
          </w:tcPr>
          <w:p w14:paraId="6A5CE654">
            <w:pPr>
              <w:spacing w:line="261" w:lineRule="auto"/>
              <w:rPr>
                <w:rFonts w:ascii="Arial"/>
                <w:sz w:val="21"/>
              </w:rPr>
            </w:pPr>
          </w:p>
          <w:p w14:paraId="576C0AB9">
            <w:pPr>
              <w:spacing w:line="261" w:lineRule="auto"/>
              <w:rPr>
                <w:rFonts w:ascii="Arial"/>
                <w:sz w:val="21"/>
              </w:rPr>
            </w:pPr>
          </w:p>
          <w:p w14:paraId="0DE7BDCB">
            <w:pPr>
              <w:spacing w:line="261" w:lineRule="auto"/>
              <w:rPr>
                <w:rFonts w:ascii="Arial"/>
                <w:sz w:val="21"/>
              </w:rPr>
            </w:pPr>
          </w:p>
          <w:p w14:paraId="770BDCE7">
            <w:pPr>
              <w:pStyle w:val="9"/>
              <w:spacing w:before="71" w:line="214" w:lineRule="auto"/>
              <w:ind w:left="332" w:right="201" w:hanging="104"/>
            </w:pPr>
            <w:r>
              <w:rPr>
                <w:spacing w:val="-6"/>
              </w:rPr>
              <w:t>1300</w:t>
            </w:r>
            <w:r>
              <w:t>元</w:t>
            </w:r>
          </w:p>
        </w:tc>
        <w:tc>
          <w:tcPr>
            <w:tcW w:w="697" w:type="dxa"/>
            <w:vAlign w:val="top"/>
          </w:tcPr>
          <w:p w14:paraId="35B666CF">
            <w:pPr>
              <w:pStyle w:val="9"/>
              <w:spacing w:before="65" w:line="201" w:lineRule="auto"/>
              <w:ind w:left="139"/>
            </w:pPr>
            <w:r>
              <w:rPr>
                <w:spacing w:val="-7"/>
              </w:rPr>
              <w:t>校本</w:t>
            </w:r>
          </w:p>
          <w:p w14:paraId="7167DFD2">
            <w:pPr>
              <w:pStyle w:val="9"/>
              <w:spacing w:before="65" w:line="201" w:lineRule="auto"/>
              <w:ind w:left="139" w:leftChars="0"/>
            </w:pPr>
            <w:r>
              <w:rPr>
                <w:spacing w:val="-8"/>
              </w:rPr>
              <w:t>部</w:t>
            </w:r>
          </w:p>
        </w:tc>
      </w:tr>
      <w:tr w14:paraId="72327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3" w:hRule="atLeast"/>
        </w:trPr>
        <w:tc>
          <w:tcPr>
            <w:tcW w:w="495" w:type="dxa"/>
            <w:vAlign w:val="top"/>
          </w:tcPr>
          <w:p w14:paraId="339B555F">
            <w:pPr>
              <w:spacing w:line="300" w:lineRule="auto"/>
              <w:rPr>
                <w:rFonts w:ascii="Arial"/>
                <w:sz w:val="21"/>
              </w:rPr>
            </w:pPr>
          </w:p>
          <w:p w14:paraId="69BC7A9C">
            <w:pPr>
              <w:spacing w:line="301" w:lineRule="auto"/>
              <w:rPr>
                <w:rFonts w:ascii="Arial"/>
                <w:sz w:val="21"/>
              </w:rPr>
            </w:pPr>
          </w:p>
          <w:p w14:paraId="2AF1635E">
            <w:pPr>
              <w:spacing w:line="301" w:lineRule="auto"/>
              <w:rPr>
                <w:rFonts w:ascii="Arial"/>
                <w:sz w:val="21"/>
              </w:rPr>
            </w:pPr>
          </w:p>
          <w:p w14:paraId="69210D1C">
            <w:pPr>
              <w:pStyle w:val="9"/>
              <w:spacing w:before="71" w:line="242" w:lineRule="auto"/>
              <w:ind w:left="201"/>
            </w:pPr>
            <w:r>
              <w:t>5</w:t>
            </w:r>
          </w:p>
        </w:tc>
        <w:tc>
          <w:tcPr>
            <w:tcW w:w="390" w:type="dxa"/>
            <w:textDirection w:val="tbRlV"/>
            <w:vAlign w:val="top"/>
          </w:tcPr>
          <w:p w14:paraId="56C62622">
            <w:pPr>
              <w:pStyle w:val="9"/>
              <w:spacing w:before="59" w:line="202" w:lineRule="auto"/>
              <w:ind w:left="619"/>
            </w:pPr>
            <w:r>
              <w:rPr>
                <w:b/>
                <w:bCs/>
                <w:spacing w:val="14"/>
              </w:rPr>
              <w:t>财务管理</w:t>
            </w:r>
          </w:p>
        </w:tc>
        <w:tc>
          <w:tcPr>
            <w:tcW w:w="6097" w:type="dxa"/>
            <w:vAlign w:val="top"/>
          </w:tcPr>
          <w:p w14:paraId="5200C6DF">
            <w:pPr>
              <w:pStyle w:val="9"/>
              <w:spacing w:before="54" w:line="280" w:lineRule="auto"/>
              <w:ind w:left="114" w:right="108" w:firstLine="430"/>
              <w:jc w:val="both"/>
              <w:rPr>
                <w:sz w:val="20"/>
                <w:szCs w:val="20"/>
              </w:rPr>
            </w:pPr>
            <w:r>
              <w:rPr>
                <w:spacing w:val="7"/>
                <w:sz w:val="20"/>
                <w:szCs w:val="20"/>
              </w:rPr>
              <w:t>系统学习掌握会计学原理、</w:t>
            </w:r>
            <w:r>
              <w:rPr>
                <w:spacing w:val="-48"/>
                <w:sz w:val="20"/>
                <w:szCs w:val="20"/>
              </w:rPr>
              <w:t xml:space="preserve"> </w:t>
            </w:r>
            <w:r>
              <w:rPr>
                <w:spacing w:val="7"/>
                <w:sz w:val="20"/>
                <w:szCs w:val="20"/>
              </w:rPr>
              <w:t>中级财务会计、成本会计、高级</w:t>
            </w:r>
            <w:r>
              <w:rPr>
                <w:spacing w:val="9"/>
                <w:sz w:val="20"/>
                <w:szCs w:val="20"/>
              </w:rPr>
              <w:t>财务会计等课程，掌握企业账务处理的基本理论和基本知识。拥有较强的企业理财与税收筹划能力、提高运用所学理论解决实际问题的能力和理论创新的能力。着力培养具备管理学、经济学基础知识，掌握财务管理基本理论和专业方法，具有良好的诚信品德，熟练的专业技能、较高的综合文化素质的应用型财务管理专</w:t>
            </w:r>
            <w:r>
              <w:rPr>
                <w:spacing w:val="4"/>
                <w:sz w:val="20"/>
                <w:szCs w:val="20"/>
              </w:rPr>
              <w:t>门人才。</w:t>
            </w:r>
          </w:p>
        </w:tc>
        <w:tc>
          <w:tcPr>
            <w:tcW w:w="553" w:type="dxa"/>
            <w:vAlign w:val="top"/>
          </w:tcPr>
          <w:p w14:paraId="32D85B2D">
            <w:pPr>
              <w:spacing w:line="261" w:lineRule="auto"/>
              <w:rPr>
                <w:rFonts w:ascii="Arial"/>
                <w:sz w:val="21"/>
              </w:rPr>
            </w:pPr>
          </w:p>
          <w:p w14:paraId="65536711">
            <w:pPr>
              <w:spacing w:line="261" w:lineRule="auto"/>
              <w:rPr>
                <w:rFonts w:ascii="Arial"/>
                <w:sz w:val="21"/>
              </w:rPr>
            </w:pPr>
          </w:p>
          <w:p w14:paraId="2FE6783B">
            <w:pPr>
              <w:spacing w:line="261" w:lineRule="auto"/>
              <w:rPr>
                <w:rFonts w:ascii="Arial"/>
                <w:sz w:val="21"/>
              </w:rPr>
            </w:pPr>
          </w:p>
          <w:p w14:paraId="3699FBBA">
            <w:pPr>
              <w:pStyle w:val="9"/>
              <w:spacing w:before="72" w:line="212" w:lineRule="auto"/>
              <w:ind w:left="183" w:right="109" w:hanging="66"/>
            </w:pPr>
            <w:r>
              <w:rPr>
                <w:spacing w:val="-4"/>
              </w:rPr>
              <w:t>2.5</w:t>
            </w:r>
            <w:r>
              <w:t>年</w:t>
            </w:r>
          </w:p>
        </w:tc>
        <w:tc>
          <w:tcPr>
            <w:tcW w:w="355" w:type="dxa"/>
            <w:textDirection w:val="tbRlV"/>
            <w:vAlign w:val="top"/>
          </w:tcPr>
          <w:p w14:paraId="791E8735">
            <w:pPr>
              <w:pStyle w:val="9"/>
              <w:spacing w:before="23" w:line="202" w:lineRule="auto"/>
              <w:ind w:left="739"/>
            </w:pPr>
            <w:r>
              <w:rPr>
                <w:spacing w:val="15"/>
              </w:rPr>
              <w:t>非脱产</w:t>
            </w:r>
          </w:p>
        </w:tc>
        <w:tc>
          <w:tcPr>
            <w:tcW w:w="387" w:type="dxa"/>
            <w:textDirection w:val="tbRlV"/>
            <w:vAlign w:val="top"/>
          </w:tcPr>
          <w:p w14:paraId="410DA4A1">
            <w:pPr>
              <w:pStyle w:val="9"/>
              <w:spacing w:before="54" w:line="202" w:lineRule="auto"/>
              <w:ind w:left="739"/>
            </w:pPr>
            <w:r>
              <w:rPr>
                <w:spacing w:val="15"/>
              </w:rPr>
              <w:t>专升本</w:t>
            </w:r>
          </w:p>
        </w:tc>
        <w:tc>
          <w:tcPr>
            <w:tcW w:w="852" w:type="dxa"/>
            <w:vAlign w:val="top"/>
          </w:tcPr>
          <w:p w14:paraId="29B06CD4">
            <w:pPr>
              <w:spacing w:line="261" w:lineRule="auto"/>
              <w:rPr>
                <w:rFonts w:ascii="Arial"/>
                <w:sz w:val="21"/>
              </w:rPr>
            </w:pPr>
          </w:p>
          <w:p w14:paraId="4139C73D">
            <w:pPr>
              <w:spacing w:line="261" w:lineRule="auto"/>
              <w:rPr>
                <w:rFonts w:ascii="Arial"/>
                <w:sz w:val="21"/>
              </w:rPr>
            </w:pPr>
          </w:p>
          <w:p w14:paraId="5BF9FE76">
            <w:pPr>
              <w:spacing w:line="262" w:lineRule="auto"/>
              <w:rPr>
                <w:rFonts w:ascii="Arial"/>
                <w:sz w:val="21"/>
              </w:rPr>
            </w:pPr>
          </w:p>
          <w:p w14:paraId="61D5B629">
            <w:pPr>
              <w:pStyle w:val="9"/>
              <w:spacing w:before="71" w:line="214" w:lineRule="auto"/>
              <w:ind w:left="332" w:right="201" w:hanging="104"/>
            </w:pPr>
            <w:r>
              <w:rPr>
                <w:spacing w:val="-6"/>
              </w:rPr>
              <w:t>1100</w:t>
            </w:r>
            <w:r>
              <w:t>元</w:t>
            </w:r>
          </w:p>
        </w:tc>
        <w:tc>
          <w:tcPr>
            <w:tcW w:w="697" w:type="dxa"/>
            <w:vAlign w:val="top"/>
          </w:tcPr>
          <w:p w14:paraId="160C59F5">
            <w:pPr>
              <w:pStyle w:val="9"/>
              <w:spacing w:before="65" w:line="201" w:lineRule="auto"/>
              <w:ind w:left="139"/>
            </w:pPr>
            <w:r>
              <w:rPr>
                <w:spacing w:val="-7"/>
              </w:rPr>
              <w:t>校本</w:t>
            </w:r>
          </w:p>
          <w:p w14:paraId="3AA66DE6">
            <w:pPr>
              <w:pStyle w:val="9"/>
              <w:spacing w:line="201" w:lineRule="auto"/>
              <w:ind w:left="140"/>
            </w:pPr>
            <w:r>
              <w:rPr>
                <w:spacing w:val="-8"/>
              </w:rPr>
              <w:t>部、</w:t>
            </w:r>
          </w:p>
          <w:p w14:paraId="2313B6A9">
            <w:pPr>
              <w:pStyle w:val="9"/>
              <w:spacing w:line="201" w:lineRule="auto"/>
              <w:ind w:left="138"/>
            </w:pPr>
            <w:bookmarkStart w:id="0" w:name="_GoBack"/>
            <w:r>
              <w:rPr>
                <w:rFonts w:hint="eastAsia"/>
                <w:spacing w:val="-7"/>
                <w:lang w:val="en-US" w:eastAsia="zh-CN"/>
              </w:rPr>
              <w:t>亳州</w:t>
            </w:r>
            <w:bookmarkEnd w:id="0"/>
            <w:r>
              <w:rPr>
                <w:spacing w:val="-7"/>
              </w:rPr>
              <w:t>教学</w:t>
            </w:r>
          </w:p>
          <w:p w14:paraId="29147822">
            <w:pPr>
              <w:pStyle w:val="9"/>
              <w:spacing w:before="1" w:line="223" w:lineRule="auto"/>
              <w:ind w:left="138" w:leftChars="0"/>
            </w:pPr>
            <w:r>
              <w:rPr>
                <w:spacing w:val="-13"/>
              </w:rPr>
              <w:t>点</w:t>
            </w:r>
          </w:p>
        </w:tc>
      </w:tr>
      <w:tr w14:paraId="79CA3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7" w:hRule="atLeast"/>
        </w:trPr>
        <w:tc>
          <w:tcPr>
            <w:tcW w:w="495" w:type="dxa"/>
            <w:vAlign w:val="top"/>
          </w:tcPr>
          <w:p w14:paraId="2A8D5D9C">
            <w:pPr>
              <w:spacing w:line="241" w:lineRule="auto"/>
              <w:rPr>
                <w:rFonts w:ascii="Arial"/>
                <w:sz w:val="21"/>
              </w:rPr>
            </w:pPr>
          </w:p>
          <w:p w14:paraId="028FF843">
            <w:pPr>
              <w:spacing w:line="241" w:lineRule="auto"/>
              <w:rPr>
                <w:rFonts w:ascii="Arial"/>
                <w:sz w:val="21"/>
              </w:rPr>
            </w:pPr>
          </w:p>
          <w:p w14:paraId="69739231">
            <w:pPr>
              <w:spacing w:line="242" w:lineRule="auto"/>
              <w:rPr>
                <w:rFonts w:ascii="Arial"/>
                <w:sz w:val="21"/>
              </w:rPr>
            </w:pPr>
          </w:p>
          <w:p w14:paraId="3CEB8F5B">
            <w:pPr>
              <w:spacing w:line="242" w:lineRule="auto"/>
              <w:rPr>
                <w:rFonts w:ascii="Arial"/>
                <w:sz w:val="21"/>
              </w:rPr>
            </w:pPr>
          </w:p>
          <w:p w14:paraId="615ED58C">
            <w:pPr>
              <w:spacing w:line="242" w:lineRule="auto"/>
              <w:rPr>
                <w:rFonts w:ascii="Arial"/>
                <w:sz w:val="21"/>
              </w:rPr>
            </w:pPr>
          </w:p>
          <w:p w14:paraId="0BB74C07">
            <w:pPr>
              <w:pStyle w:val="9"/>
              <w:spacing w:before="71" w:line="242" w:lineRule="auto"/>
              <w:ind w:left="202"/>
              <w:rPr>
                <w:rFonts w:hint="eastAsia" w:eastAsia="仿宋"/>
                <w:lang w:eastAsia="zh-CN"/>
              </w:rPr>
            </w:pPr>
            <w:r>
              <w:rPr>
                <w:rFonts w:hint="eastAsia"/>
                <w:lang w:val="en-US" w:eastAsia="zh-CN"/>
              </w:rPr>
              <w:t>6</w:t>
            </w:r>
          </w:p>
        </w:tc>
        <w:tc>
          <w:tcPr>
            <w:tcW w:w="390" w:type="dxa"/>
            <w:textDirection w:val="tbRlV"/>
            <w:vAlign w:val="top"/>
          </w:tcPr>
          <w:p w14:paraId="0A8A9B90">
            <w:pPr>
              <w:pStyle w:val="9"/>
              <w:spacing w:before="59" w:line="202" w:lineRule="auto"/>
              <w:ind w:left="327"/>
            </w:pPr>
            <w:r>
              <w:rPr>
                <w:b/>
                <w:bCs/>
                <w:spacing w:val="16"/>
              </w:rPr>
              <w:t>电气工程及其自动化</w:t>
            </w:r>
          </w:p>
        </w:tc>
        <w:tc>
          <w:tcPr>
            <w:tcW w:w="6097" w:type="dxa"/>
            <w:vAlign w:val="top"/>
          </w:tcPr>
          <w:p w14:paraId="172ABAA6">
            <w:pPr>
              <w:pStyle w:val="9"/>
              <w:spacing w:before="52" w:line="282" w:lineRule="auto"/>
              <w:ind w:left="114" w:right="111" w:firstLine="430"/>
              <w:jc w:val="both"/>
              <w:rPr>
                <w:sz w:val="20"/>
                <w:szCs w:val="20"/>
              </w:rPr>
            </w:pPr>
            <w:r>
              <w:rPr>
                <w:spacing w:val="9"/>
                <w:sz w:val="20"/>
                <w:szCs w:val="20"/>
              </w:rPr>
              <w:t>系统学习掌握本专业领域必需的技术基础理论知识，包括电</w:t>
            </w:r>
            <w:r>
              <w:rPr>
                <w:spacing w:val="8"/>
                <w:sz w:val="20"/>
                <w:szCs w:val="20"/>
              </w:rPr>
              <w:t>工理论、</w:t>
            </w:r>
            <w:r>
              <w:rPr>
                <w:spacing w:val="-55"/>
                <w:sz w:val="20"/>
                <w:szCs w:val="20"/>
              </w:rPr>
              <w:t xml:space="preserve"> </w:t>
            </w:r>
            <w:r>
              <w:rPr>
                <w:spacing w:val="8"/>
                <w:sz w:val="20"/>
                <w:szCs w:val="20"/>
              </w:rPr>
              <w:t>电子技术、控制理论、计算机软、硬件基本原</w:t>
            </w:r>
            <w:r>
              <w:rPr>
                <w:spacing w:val="7"/>
                <w:sz w:val="20"/>
                <w:szCs w:val="20"/>
              </w:rPr>
              <w:t>理及应用</w:t>
            </w:r>
            <w:r>
              <w:rPr>
                <w:spacing w:val="9"/>
                <w:sz w:val="20"/>
                <w:szCs w:val="20"/>
              </w:rPr>
              <w:t>等方面知识，获得较好的工程实践训练，掌握电气工程及其自动化研究调试的基本方法和技能，具有在生产自动化系统、装置以及管理系统中的应用能力。着力培养能在与电气工程有关的系统</w:t>
            </w:r>
            <w:r>
              <w:rPr>
                <w:spacing w:val="6"/>
                <w:sz w:val="20"/>
                <w:szCs w:val="20"/>
              </w:rPr>
              <w:t>运行、</w:t>
            </w:r>
            <w:r>
              <w:rPr>
                <w:spacing w:val="-48"/>
                <w:sz w:val="20"/>
                <w:szCs w:val="20"/>
              </w:rPr>
              <w:t xml:space="preserve"> </w:t>
            </w:r>
            <w:r>
              <w:rPr>
                <w:spacing w:val="6"/>
                <w:sz w:val="20"/>
                <w:szCs w:val="20"/>
              </w:rPr>
              <w:t>电力电子技术、</w:t>
            </w:r>
            <w:r>
              <w:rPr>
                <w:spacing w:val="-55"/>
                <w:sz w:val="20"/>
                <w:szCs w:val="20"/>
              </w:rPr>
              <w:t xml:space="preserve"> </w:t>
            </w:r>
            <w:r>
              <w:rPr>
                <w:spacing w:val="6"/>
                <w:sz w:val="20"/>
                <w:szCs w:val="20"/>
              </w:rPr>
              <w:t>电气控制、工业过程控制等领域从事系统</w:t>
            </w:r>
            <w:r>
              <w:rPr>
                <w:spacing w:val="9"/>
                <w:sz w:val="20"/>
                <w:szCs w:val="20"/>
              </w:rPr>
              <w:t>分析、系统设计、系统运行、技术开发和科技管理工作，培养具有一定的工程实践能力和创新能力的工程应用型的高级工程技术</w:t>
            </w:r>
            <w:r>
              <w:rPr>
                <w:spacing w:val="2"/>
                <w:sz w:val="20"/>
                <w:szCs w:val="20"/>
              </w:rPr>
              <w:t>人才。</w:t>
            </w:r>
          </w:p>
        </w:tc>
        <w:tc>
          <w:tcPr>
            <w:tcW w:w="553" w:type="dxa"/>
            <w:vAlign w:val="top"/>
          </w:tcPr>
          <w:p w14:paraId="470F3C30">
            <w:pPr>
              <w:spacing w:line="272" w:lineRule="auto"/>
              <w:rPr>
                <w:rFonts w:ascii="Arial"/>
                <w:sz w:val="21"/>
              </w:rPr>
            </w:pPr>
          </w:p>
          <w:p w14:paraId="661C3AF4">
            <w:pPr>
              <w:spacing w:line="272" w:lineRule="auto"/>
              <w:rPr>
                <w:rFonts w:ascii="Arial"/>
                <w:sz w:val="21"/>
              </w:rPr>
            </w:pPr>
          </w:p>
          <w:p w14:paraId="3B025E39">
            <w:pPr>
              <w:spacing w:line="272" w:lineRule="auto"/>
              <w:rPr>
                <w:rFonts w:ascii="Arial"/>
                <w:sz w:val="21"/>
              </w:rPr>
            </w:pPr>
          </w:p>
          <w:p w14:paraId="3A623726">
            <w:pPr>
              <w:spacing w:line="273" w:lineRule="auto"/>
              <w:rPr>
                <w:rFonts w:ascii="Arial"/>
                <w:sz w:val="21"/>
              </w:rPr>
            </w:pPr>
          </w:p>
          <w:p w14:paraId="2815D8E8">
            <w:pPr>
              <w:pStyle w:val="9"/>
              <w:spacing w:before="72" w:line="212" w:lineRule="auto"/>
              <w:ind w:left="183" w:right="109" w:hanging="66"/>
            </w:pPr>
            <w:r>
              <w:rPr>
                <w:spacing w:val="-4"/>
              </w:rPr>
              <w:t>2.5</w:t>
            </w:r>
            <w:r>
              <w:t>年</w:t>
            </w:r>
          </w:p>
        </w:tc>
        <w:tc>
          <w:tcPr>
            <w:tcW w:w="355" w:type="dxa"/>
            <w:textDirection w:val="tbRlV"/>
            <w:vAlign w:val="top"/>
          </w:tcPr>
          <w:p w14:paraId="74411045">
            <w:pPr>
              <w:pStyle w:val="9"/>
              <w:spacing w:before="23" w:line="202" w:lineRule="auto"/>
              <w:ind w:left="1047"/>
            </w:pPr>
            <w:r>
              <w:rPr>
                <w:spacing w:val="15"/>
              </w:rPr>
              <w:t>非脱产</w:t>
            </w:r>
          </w:p>
        </w:tc>
        <w:tc>
          <w:tcPr>
            <w:tcW w:w="387" w:type="dxa"/>
            <w:textDirection w:val="tbRlV"/>
            <w:vAlign w:val="top"/>
          </w:tcPr>
          <w:p w14:paraId="3735BC6C">
            <w:pPr>
              <w:pStyle w:val="9"/>
              <w:spacing w:before="54" w:line="202" w:lineRule="auto"/>
              <w:ind w:left="1047"/>
            </w:pPr>
            <w:r>
              <w:rPr>
                <w:spacing w:val="15"/>
              </w:rPr>
              <w:t>专升本</w:t>
            </w:r>
          </w:p>
        </w:tc>
        <w:tc>
          <w:tcPr>
            <w:tcW w:w="852" w:type="dxa"/>
            <w:vAlign w:val="top"/>
          </w:tcPr>
          <w:p w14:paraId="27B262EA">
            <w:pPr>
              <w:spacing w:line="272" w:lineRule="auto"/>
              <w:rPr>
                <w:rFonts w:ascii="Arial"/>
                <w:sz w:val="21"/>
              </w:rPr>
            </w:pPr>
          </w:p>
          <w:p w14:paraId="381BE240">
            <w:pPr>
              <w:spacing w:line="272" w:lineRule="auto"/>
              <w:rPr>
                <w:rFonts w:ascii="Arial"/>
                <w:sz w:val="21"/>
              </w:rPr>
            </w:pPr>
          </w:p>
          <w:p w14:paraId="4770AA23">
            <w:pPr>
              <w:spacing w:line="273" w:lineRule="auto"/>
              <w:rPr>
                <w:rFonts w:ascii="Arial"/>
                <w:sz w:val="21"/>
              </w:rPr>
            </w:pPr>
          </w:p>
          <w:p w14:paraId="21161E44">
            <w:pPr>
              <w:spacing w:line="273" w:lineRule="auto"/>
              <w:rPr>
                <w:rFonts w:ascii="Arial"/>
                <w:sz w:val="21"/>
              </w:rPr>
            </w:pPr>
          </w:p>
          <w:p w14:paraId="103F733D">
            <w:pPr>
              <w:pStyle w:val="9"/>
              <w:spacing w:before="71" w:line="214" w:lineRule="auto"/>
              <w:ind w:left="332" w:right="201" w:hanging="104"/>
            </w:pPr>
            <w:r>
              <w:rPr>
                <w:spacing w:val="-6"/>
              </w:rPr>
              <w:t>1300</w:t>
            </w:r>
            <w:r>
              <w:t>元</w:t>
            </w:r>
          </w:p>
        </w:tc>
        <w:tc>
          <w:tcPr>
            <w:tcW w:w="697" w:type="dxa"/>
            <w:vAlign w:val="top"/>
          </w:tcPr>
          <w:p w14:paraId="070E2610">
            <w:pPr>
              <w:pStyle w:val="9"/>
              <w:spacing w:before="65" w:line="201" w:lineRule="auto"/>
              <w:ind w:left="139"/>
            </w:pPr>
            <w:r>
              <w:rPr>
                <w:spacing w:val="-7"/>
              </w:rPr>
              <w:t>校本</w:t>
            </w:r>
          </w:p>
          <w:p w14:paraId="3C48020C">
            <w:pPr>
              <w:pStyle w:val="9"/>
              <w:spacing w:before="65" w:line="201" w:lineRule="auto"/>
              <w:ind w:left="139" w:leftChars="0"/>
            </w:pPr>
            <w:r>
              <w:rPr>
                <w:spacing w:val="-8"/>
              </w:rPr>
              <w:t>部</w:t>
            </w:r>
          </w:p>
        </w:tc>
      </w:tr>
      <w:tr w14:paraId="57FCD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4" w:hRule="atLeast"/>
        </w:trPr>
        <w:tc>
          <w:tcPr>
            <w:tcW w:w="495" w:type="dxa"/>
            <w:vAlign w:val="top"/>
          </w:tcPr>
          <w:p w14:paraId="09602162">
            <w:pPr>
              <w:spacing w:line="295" w:lineRule="auto"/>
              <w:rPr>
                <w:rFonts w:ascii="Arial"/>
                <w:sz w:val="21"/>
              </w:rPr>
            </w:pPr>
          </w:p>
          <w:p w14:paraId="19165BF3">
            <w:pPr>
              <w:spacing w:line="296" w:lineRule="auto"/>
              <w:rPr>
                <w:rFonts w:ascii="Arial"/>
                <w:sz w:val="21"/>
              </w:rPr>
            </w:pPr>
          </w:p>
          <w:p w14:paraId="7EB8EE9B">
            <w:pPr>
              <w:pStyle w:val="9"/>
              <w:spacing w:before="71" w:line="242" w:lineRule="auto"/>
              <w:ind w:left="157"/>
              <w:rPr>
                <w:rFonts w:hint="eastAsia" w:eastAsia="仿宋"/>
                <w:lang w:eastAsia="zh-CN"/>
              </w:rPr>
            </w:pPr>
            <w:r>
              <w:rPr>
                <w:rFonts w:hint="eastAsia"/>
                <w:spacing w:val="-12"/>
                <w:lang w:val="en-US" w:eastAsia="zh-CN"/>
              </w:rPr>
              <w:t>7</w:t>
            </w:r>
          </w:p>
        </w:tc>
        <w:tc>
          <w:tcPr>
            <w:tcW w:w="390" w:type="dxa"/>
            <w:textDirection w:val="tbRlV"/>
            <w:vAlign w:val="top"/>
          </w:tcPr>
          <w:p w14:paraId="590AA9CC">
            <w:pPr>
              <w:pStyle w:val="9"/>
              <w:spacing w:before="59" w:line="203" w:lineRule="auto"/>
              <w:ind w:left="186"/>
            </w:pPr>
            <w:r>
              <w:rPr>
                <w:b/>
                <w:bCs/>
                <w:spacing w:val="14"/>
              </w:rPr>
              <w:t>汉语言文学</w:t>
            </w:r>
          </w:p>
        </w:tc>
        <w:tc>
          <w:tcPr>
            <w:tcW w:w="6097" w:type="dxa"/>
            <w:vAlign w:val="top"/>
          </w:tcPr>
          <w:p w14:paraId="29DD9D89">
            <w:pPr>
              <w:pStyle w:val="9"/>
              <w:spacing w:before="53" w:line="277" w:lineRule="auto"/>
              <w:ind w:left="116" w:right="48" w:firstLine="428"/>
              <w:rPr>
                <w:sz w:val="20"/>
                <w:szCs w:val="20"/>
              </w:rPr>
            </w:pPr>
            <w:r>
              <w:rPr>
                <w:spacing w:val="3"/>
                <w:sz w:val="20"/>
                <w:szCs w:val="20"/>
              </w:rPr>
              <w:t>系统学习掌握语言文字应用能力、处理古今文字材料的能力，</w:t>
            </w:r>
            <w:r>
              <w:rPr>
                <w:spacing w:val="9"/>
                <w:sz w:val="20"/>
                <w:szCs w:val="20"/>
              </w:rPr>
              <w:t>解读和分析古今作品文献的能力，掌握资料收集、文献检索、社会调查、论文写作等科学研究的能力。着力培养具有较强的综合</w:t>
            </w:r>
            <w:r>
              <w:rPr>
                <w:spacing w:val="10"/>
                <w:sz w:val="20"/>
                <w:szCs w:val="20"/>
              </w:rPr>
              <w:t>职业能力、创新精神和实践能力，能够从事文秘、新闻、公关、</w:t>
            </w:r>
            <w:r>
              <w:rPr>
                <w:spacing w:val="8"/>
                <w:sz w:val="20"/>
                <w:szCs w:val="20"/>
              </w:rPr>
              <w:t>文化产业管理等工作的高素质专门人才。</w:t>
            </w:r>
          </w:p>
        </w:tc>
        <w:tc>
          <w:tcPr>
            <w:tcW w:w="553" w:type="dxa"/>
            <w:vAlign w:val="top"/>
          </w:tcPr>
          <w:p w14:paraId="3F6CF7B0">
            <w:pPr>
              <w:spacing w:line="472" w:lineRule="auto"/>
              <w:rPr>
                <w:rFonts w:ascii="Arial"/>
                <w:sz w:val="21"/>
              </w:rPr>
            </w:pPr>
          </w:p>
          <w:p w14:paraId="107989A6">
            <w:pPr>
              <w:pStyle w:val="9"/>
              <w:spacing w:before="72" w:line="212" w:lineRule="auto"/>
              <w:ind w:left="183" w:right="162" w:firstLine="77"/>
            </w:pPr>
            <w:r>
              <w:rPr>
                <w:spacing w:val="-12"/>
              </w:rPr>
              <w:t>5</w:t>
            </w:r>
            <w:r>
              <w:rPr>
                <w:spacing w:val="-19"/>
              </w:rPr>
              <w:t>年</w:t>
            </w:r>
          </w:p>
        </w:tc>
        <w:tc>
          <w:tcPr>
            <w:tcW w:w="355" w:type="dxa"/>
            <w:textDirection w:val="tbRlV"/>
            <w:vAlign w:val="top"/>
          </w:tcPr>
          <w:p w14:paraId="04AF1798">
            <w:pPr>
              <w:pStyle w:val="9"/>
              <w:spacing w:before="23" w:line="202" w:lineRule="auto"/>
              <w:ind w:left="426"/>
            </w:pPr>
            <w:r>
              <w:rPr>
                <w:spacing w:val="15"/>
              </w:rPr>
              <w:t>非脱产</w:t>
            </w:r>
          </w:p>
        </w:tc>
        <w:tc>
          <w:tcPr>
            <w:tcW w:w="387" w:type="dxa"/>
            <w:textDirection w:val="tbRlV"/>
            <w:vAlign w:val="top"/>
          </w:tcPr>
          <w:p w14:paraId="42E50FB1">
            <w:pPr>
              <w:pStyle w:val="9"/>
              <w:spacing w:before="54" w:line="202" w:lineRule="auto"/>
              <w:ind w:left="426"/>
            </w:pPr>
            <w:r>
              <w:rPr>
                <w:spacing w:val="15"/>
              </w:rPr>
              <w:t>高起本</w:t>
            </w:r>
          </w:p>
        </w:tc>
        <w:tc>
          <w:tcPr>
            <w:tcW w:w="852" w:type="dxa"/>
            <w:vAlign w:val="top"/>
          </w:tcPr>
          <w:p w14:paraId="48C92892">
            <w:pPr>
              <w:spacing w:line="473" w:lineRule="auto"/>
              <w:rPr>
                <w:rFonts w:ascii="Arial"/>
                <w:sz w:val="21"/>
              </w:rPr>
            </w:pPr>
          </w:p>
          <w:p w14:paraId="61E1BE76">
            <w:pPr>
              <w:pStyle w:val="9"/>
              <w:spacing w:before="71" w:line="214" w:lineRule="auto"/>
              <w:ind w:left="332" w:right="201" w:hanging="104"/>
            </w:pPr>
            <w:r>
              <w:rPr>
                <w:spacing w:val="-6"/>
              </w:rPr>
              <w:t>1100</w:t>
            </w:r>
            <w:r>
              <w:t>元</w:t>
            </w:r>
          </w:p>
        </w:tc>
        <w:tc>
          <w:tcPr>
            <w:tcW w:w="697" w:type="dxa"/>
            <w:vAlign w:val="top"/>
          </w:tcPr>
          <w:p w14:paraId="22B291C0">
            <w:pPr>
              <w:pStyle w:val="9"/>
              <w:spacing w:before="65" w:line="201" w:lineRule="auto"/>
              <w:ind w:left="139"/>
            </w:pPr>
            <w:r>
              <w:rPr>
                <w:spacing w:val="-7"/>
              </w:rPr>
              <w:t>校本</w:t>
            </w:r>
          </w:p>
          <w:p w14:paraId="31387036">
            <w:pPr>
              <w:pStyle w:val="9"/>
              <w:spacing w:before="1" w:line="223" w:lineRule="auto"/>
              <w:ind w:left="138" w:leftChars="0"/>
            </w:pPr>
            <w:r>
              <w:rPr>
                <w:spacing w:val="-8"/>
              </w:rPr>
              <w:t>部</w:t>
            </w:r>
          </w:p>
        </w:tc>
      </w:tr>
    </w:tbl>
    <w:p w14:paraId="2DA66CDF">
      <w:pPr>
        <w:spacing w:line="91" w:lineRule="auto"/>
        <w:rPr>
          <w:rFonts w:ascii="Arial"/>
          <w:sz w:val="2"/>
        </w:rPr>
      </w:pPr>
    </w:p>
    <w:tbl>
      <w:tblPr>
        <w:tblStyle w:val="8"/>
        <w:tblpPr w:leftFromText="180" w:rightFromText="180" w:vertAnchor="text" w:horzAnchor="page" w:tblpX="1226" w:tblpY="23"/>
        <w:tblOverlap w:val="never"/>
        <w:tblW w:w="9826" w:type="dxa"/>
        <w:tblInd w:w="0" w:type="dxa"/>
        <w:tblBorders>
          <w:top w:val="none" w:color="auto" w:sz="0"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5"/>
        <w:gridCol w:w="390"/>
        <w:gridCol w:w="6097"/>
        <w:gridCol w:w="553"/>
        <w:gridCol w:w="355"/>
        <w:gridCol w:w="387"/>
        <w:gridCol w:w="852"/>
        <w:gridCol w:w="697"/>
      </w:tblGrid>
      <w:tr w14:paraId="358820C9">
        <w:tblPrEx>
          <w:tblBorders>
            <w:top w:val="none" w:color="auto" w:sz="0"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7" w:hRule="atLeast"/>
        </w:trPr>
        <w:tc>
          <w:tcPr>
            <w:tcW w:w="495" w:type="dxa"/>
            <w:tcBorders>
              <w:tl2br w:val="nil"/>
              <w:tr2bl w:val="nil"/>
            </w:tcBorders>
            <w:vAlign w:val="top"/>
          </w:tcPr>
          <w:p w14:paraId="36527C96">
            <w:pPr>
              <w:spacing w:line="299" w:lineRule="auto"/>
              <w:rPr>
                <w:rFonts w:ascii="Arial"/>
                <w:sz w:val="21"/>
              </w:rPr>
            </w:pPr>
          </w:p>
          <w:p w14:paraId="60C171FF">
            <w:pPr>
              <w:spacing w:line="300" w:lineRule="auto"/>
              <w:rPr>
                <w:rFonts w:ascii="Arial"/>
                <w:sz w:val="21"/>
              </w:rPr>
            </w:pPr>
          </w:p>
          <w:p w14:paraId="2B11EA94">
            <w:pPr>
              <w:spacing w:line="300" w:lineRule="auto"/>
              <w:rPr>
                <w:rFonts w:ascii="Arial"/>
                <w:sz w:val="21"/>
              </w:rPr>
            </w:pPr>
          </w:p>
          <w:p w14:paraId="64DFAE01">
            <w:pPr>
              <w:pStyle w:val="9"/>
              <w:spacing w:before="71" w:line="242" w:lineRule="auto"/>
              <w:ind w:left="157"/>
              <w:rPr>
                <w:rFonts w:hint="eastAsia" w:eastAsia="仿宋"/>
                <w:lang w:eastAsia="zh-CN"/>
              </w:rPr>
            </w:pPr>
            <w:r>
              <w:rPr>
                <w:rFonts w:hint="eastAsia"/>
                <w:spacing w:val="-12"/>
                <w:lang w:val="en-US" w:eastAsia="zh-CN"/>
              </w:rPr>
              <w:t>8</w:t>
            </w:r>
          </w:p>
        </w:tc>
        <w:tc>
          <w:tcPr>
            <w:tcW w:w="390" w:type="dxa"/>
            <w:tcBorders>
              <w:tl2br w:val="nil"/>
              <w:tr2bl w:val="nil"/>
            </w:tcBorders>
            <w:textDirection w:val="tbRlV"/>
            <w:vAlign w:val="top"/>
          </w:tcPr>
          <w:p w14:paraId="4E092779">
            <w:pPr>
              <w:pStyle w:val="9"/>
              <w:spacing w:before="59" w:line="202" w:lineRule="auto"/>
              <w:ind w:left="616"/>
            </w:pPr>
            <w:r>
              <w:rPr>
                <w:b/>
                <w:bCs/>
                <w:spacing w:val="14"/>
              </w:rPr>
              <w:t>财务管理</w:t>
            </w:r>
          </w:p>
        </w:tc>
        <w:tc>
          <w:tcPr>
            <w:tcW w:w="6097" w:type="dxa"/>
            <w:tcBorders>
              <w:tl2br w:val="nil"/>
              <w:tr2bl w:val="nil"/>
            </w:tcBorders>
            <w:vAlign w:val="top"/>
          </w:tcPr>
          <w:p w14:paraId="54AE6484">
            <w:pPr>
              <w:pStyle w:val="9"/>
              <w:spacing w:before="53" w:line="280" w:lineRule="auto"/>
              <w:ind w:left="116" w:right="111" w:firstLine="428"/>
              <w:jc w:val="both"/>
              <w:rPr>
                <w:sz w:val="20"/>
                <w:szCs w:val="20"/>
              </w:rPr>
            </w:pPr>
            <w:r>
              <w:rPr>
                <w:spacing w:val="7"/>
                <w:sz w:val="20"/>
                <w:szCs w:val="20"/>
              </w:rPr>
              <w:t>系统学习掌握会计学原理、</w:t>
            </w:r>
            <w:r>
              <w:rPr>
                <w:spacing w:val="-48"/>
                <w:sz w:val="20"/>
                <w:szCs w:val="20"/>
              </w:rPr>
              <w:t xml:space="preserve"> </w:t>
            </w:r>
            <w:r>
              <w:rPr>
                <w:spacing w:val="7"/>
                <w:sz w:val="20"/>
                <w:szCs w:val="20"/>
              </w:rPr>
              <w:t>中级财务会计、成本会计、高级</w:t>
            </w:r>
            <w:r>
              <w:rPr>
                <w:spacing w:val="9"/>
                <w:sz w:val="20"/>
                <w:szCs w:val="20"/>
              </w:rPr>
              <w:t>财务会计等课程，掌握企业账务处理的基本理论和基本知识。掌握较强的企业理财与税收筹划能力、提高运用所学理论解决实际问题的能力和理论创新的能力。着力培养具备管理学、经济学基础知识，掌握财务管理基本理论和专业方法，具有良好的诚信品德，熟练的专业技能、较高的综合文化素质的应用型财务管理专</w:t>
            </w:r>
            <w:r>
              <w:rPr>
                <w:spacing w:val="3"/>
                <w:sz w:val="20"/>
                <w:szCs w:val="20"/>
              </w:rPr>
              <w:t>门人才。</w:t>
            </w:r>
          </w:p>
        </w:tc>
        <w:tc>
          <w:tcPr>
            <w:tcW w:w="553" w:type="dxa"/>
            <w:tcBorders>
              <w:tl2br w:val="nil"/>
              <w:tr2bl w:val="nil"/>
            </w:tcBorders>
            <w:vAlign w:val="top"/>
          </w:tcPr>
          <w:p w14:paraId="2F8431B9">
            <w:pPr>
              <w:spacing w:line="260" w:lineRule="auto"/>
              <w:rPr>
                <w:rFonts w:ascii="Arial"/>
                <w:sz w:val="21"/>
              </w:rPr>
            </w:pPr>
          </w:p>
          <w:p w14:paraId="62359295">
            <w:pPr>
              <w:spacing w:line="260" w:lineRule="auto"/>
              <w:rPr>
                <w:rFonts w:ascii="Arial"/>
                <w:sz w:val="21"/>
              </w:rPr>
            </w:pPr>
          </w:p>
          <w:p w14:paraId="62439351">
            <w:pPr>
              <w:spacing w:line="260" w:lineRule="auto"/>
              <w:rPr>
                <w:rFonts w:ascii="Arial"/>
                <w:sz w:val="21"/>
              </w:rPr>
            </w:pPr>
          </w:p>
          <w:p w14:paraId="5F8C5FED">
            <w:pPr>
              <w:pStyle w:val="9"/>
              <w:spacing w:before="72" w:line="212" w:lineRule="auto"/>
              <w:ind w:left="183" w:right="162" w:firstLine="77"/>
            </w:pPr>
            <w:r>
              <w:rPr>
                <w:spacing w:val="-12"/>
              </w:rPr>
              <w:t>5</w:t>
            </w:r>
            <w:r>
              <w:rPr>
                <w:spacing w:val="-19"/>
              </w:rPr>
              <w:t>年</w:t>
            </w:r>
          </w:p>
        </w:tc>
        <w:tc>
          <w:tcPr>
            <w:tcW w:w="355" w:type="dxa"/>
            <w:tcBorders>
              <w:tl2br w:val="nil"/>
              <w:tr2bl w:val="nil"/>
            </w:tcBorders>
            <w:textDirection w:val="tbRlV"/>
            <w:vAlign w:val="top"/>
          </w:tcPr>
          <w:p w14:paraId="07D52DAE">
            <w:pPr>
              <w:pStyle w:val="9"/>
              <w:spacing w:before="23" w:line="202" w:lineRule="auto"/>
              <w:ind w:left="736"/>
            </w:pPr>
            <w:r>
              <w:rPr>
                <w:spacing w:val="15"/>
              </w:rPr>
              <w:t>非脱产</w:t>
            </w:r>
          </w:p>
        </w:tc>
        <w:tc>
          <w:tcPr>
            <w:tcW w:w="387" w:type="dxa"/>
            <w:tcBorders>
              <w:tl2br w:val="nil"/>
              <w:tr2bl w:val="nil"/>
            </w:tcBorders>
            <w:textDirection w:val="tbRlV"/>
            <w:vAlign w:val="top"/>
          </w:tcPr>
          <w:p w14:paraId="1603BF43">
            <w:pPr>
              <w:pStyle w:val="9"/>
              <w:spacing w:before="54" w:line="202" w:lineRule="auto"/>
              <w:ind w:left="736"/>
            </w:pPr>
            <w:r>
              <w:rPr>
                <w:spacing w:val="15"/>
              </w:rPr>
              <w:t>高起本</w:t>
            </w:r>
          </w:p>
        </w:tc>
        <w:tc>
          <w:tcPr>
            <w:tcW w:w="852" w:type="dxa"/>
            <w:tcBorders>
              <w:tl2br w:val="nil"/>
              <w:tr2bl w:val="nil"/>
            </w:tcBorders>
            <w:vAlign w:val="top"/>
          </w:tcPr>
          <w:p w14:paraId="6D76B451">
            <w:pPr>
              <w:spacing w:line="260" w:lineRule="auto"/>
              <w:rPr>
                <w:rFonts w:ascii="Arial"/>
                <w:sz w:val="21"/>
              </w:rPr>
            </w:pPr>
          </w:p>
          <w:p w14:paraId="1C058E61">
            <w:pPr>
              <w:spacing w:line="260" w:lineRule="auto"/>
              <w:rPr>
                <w:rFonts w:ascii="Arial"/>
                <w:sz w:val="21"/>
              </w:rPr>
            </w:pPr>
          </w:p>
          <w:p w14:paraId="07DF3C67">
            <w:pPr>
              <w:spacing w:line="261" w:lineRule="auto"/>
              <w:rPr>
                <w:rFonts w:ascii="Arial"/>
                <w:sz w:val="21"/>
              </w:rPr>
            </w:pPr>
          </w:p>
          <w:p w14:paraId="31D66CF9">
            <w:pPr>
              <w:pStyle w:val="9"/>
              <w:spacing w:before="71" w:line="214" w:lineRule="auto"/>
              <w:ind w:left="332" w:right="201" w:hanging="104"/>
            </w:pPr>
            <w:r>
              <w:rPr>
                <w:spacing w:val="-6"/>
              </w:rPr>
              <w:t>1100</w:t>
            </w:r>
            <w:r>
              <w:t>元</w:t>
            </w:r>
          </w:p>
        </w:tc>
        <w:tc>
          <w:tcPr>
            <w:tcW w:w="697" w:type="dxa"/>
            <w:tcBorders>
              <w:tl2br w:val="nil"/>
              <w:tr2bl w:val="nil"/>
            </w:tcBorders>
            <w:vAlign w:val="top"/>
          </w:tcPr>
          <w:p w14:paraId="64F2664C">
            <w:pPr>
              <w:pStyle w:val="9"/>
              <w:spacing w:before="65" w:line="201" w:lineRule="auto"/>
              <w:ind w:left="139"/>
            </w:pPr>
            <w:r>
              <w:rPr>
                <w:spacing w:val="-7"/>
              </w:rPr>
              <w:t>校本</w:t>
            </w:r>
          </w:p>
          <w:p w14:paraId="16CEE7D6">
            <w:pPr>
              <w:pStyle w:val="9"/>
              <w:spacing w:before="1" w:line="223" w:lineRule="auto"/>
              <w:ind w:left="138" w:leftChars="0"/>
            </w:pPr>
            <w:r>
              <w:rPr>
                <w:spacing w:val="-8"/>
              </w:rPr>
              <w:t>部</w:t>
            </w:r>
          </w:p>
        </w:tc>
      </w:tr>
    </w:tbl>
    <w:p w14:paraId="72526794">
      <w:pPr>
        <w:pStyle w:val="2"/>
        <w:spacing w:before="198" w:line="415" w:lineRule="auto"/>
        <w:ind w:right="65"/>
      </w:pPr>
    </w:p>
    <w:sectPr>
      <w:footerReference r:id="rId5" w:type="default"/>
      <w:pgSz w:w="11906" w:h="16839"/>
      <w:pgMar w:top="1431" w:right="1736" w:bottom="1155" w:left="1785" w:header="0" w:footer="992" w:gutter="0"/>
      <w:pgBorders>
        <w:top w:val="none" w:sz="0" w:space="0"/>
        <w:left w:val="none" w:sz="0" w:space="0"/>
        <w:bottom w:val="none" w:sz="0" w:space="0"/>
        <w:right w:val="none" w:sz="0" w:space="0"/>
      </w:pgBorders>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F9A24">
    <w:pPr>
      <w:spacing w:line="167" w:lineRule="auto"/>
      <w:ind w:left="4129"/>
      <w:rPr>
        <w:rFonts w:hint="default" w:ascii="Calibri" w:hAnsi="Calibri" w:eastAsia="宋体" w:cs="Calibri"/>
        <w:sz w:val="18"/>
        <w:szCs w:val="18"/>
        <w:lang w:val="en-US"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F1139F7"/>
    <w:rsid w:val="1AC27A2C"/>
    <w:rsid w:val="21EF4232"/>
    <w:rsid w:val="376637C1"/>
    <w:rsid w:val="3A5E6FBA"/>
    <w:rsid w:val="3AE25532"/>
    <w:rsid w:val="3D00424A"/>
    <w:rsid w:val="3E015FF2"/>
    <w:rsid w:val="6A1521B5"/>
    <w:rsid w:val="6B625A72"/>
    <w:rsid w:val="70E214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1521</Words>
  <Characters>1560</Characters>
  <TotalTime>0</TotalTime>
  <ScaleCrop>false</ScaleCrop>
  <LinksUpToDate>false</LinksUpToDate>
  <CharactersWithSpaces>1567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2025-09-01T11:24:00Z</dcterms:created>
  <dc:creator>齐先文</dc:creator>
  <cp:lastModifiedBy>文</cp:lastModifiedBy>
  <dcterms:modified xsi:type="dcterms:W3CDTF">2026-08-13T04:28:05Z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2026-07-22T17:45:58Z</vt:filetime>
  </property>
  <property fmtid="{D5CDD505-2E9C-101B-9397-08002B2CF9AE}" pid="4" name="KSOTemplateDocerSaveRecord">
    <vt:lpwstr>eyJoZGlkIjoiZDI0OWI5OWU1YTZhNTgzOTYyZWRiMjY3ZDcxYWIzNjkiLCJ1c2VySWQiOiI0Mjk0OTYxMzUifQ==</vt:lpwstr>
  </property>
  <property fmtid="{D5CDD505-2E9C-101B-9397-08002B2CF9AE}" pid="5" name="KSOProductBuildVer">
    <vt:lpwstr>2052-12.1.0.28043</vt:lpwstr>
  </property>
  <property fmtid="{D5CDD505-2E9C-101B-9397-08002B2CF9AE}" pid="6" name="ICV">
    <vt:lpwstr>737E6DE08CE040E39CA305767BA16E48_13</vt:lpwstr>
  </property>
</Properties>
</file>